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8D4" w:rsidRDefault="00BD127D" w:rsidP="00F458D4">
      <w:pPr>
        <w:spacing w:after="0"/>
        <w:jc w:val="center"/>
        <w:rPr>
          <w:b/>
        </w:rPr>
      </w:pPr>
      <w:r>
        <w:rPr>
          <w:b/>
          <w:noProof/>
          <w:lang w:eastAsia="en-PH"/>
        </w:rPr>
        <w:drawing>
          <wp:anchor distT="0" distB="0" distL="114300" distR="114300" simplePos="0" relativeHeight="251673600" behindDoc="0" locked="0" layoutInCell="1" allowOverlap="1">
            <wp:simplePos x="0" y="0"/>
            <wp:positionH relativeFrom="column">
              <wp:posOffset>5909310</wp:posOffset>
            </wp:positionH>
            <wp:positionV relativeFrom="paragraph">
              <wp:posOffset>-85090</wp:posOffset>
            </wp:positionV>
            <wp:extent cx="671830" cy="680085"/>
            <wp:effectExtent l="19050" t="0" r="0" b="0"/>
            <wp:wrapThrough wrapText="bothSides">
              <wp:wrapPolygon edited="0">
                <wp:start x="6125" y="605"/>
                <wp:lineTo x="0" y="3630"/>
                <wp:lineTo x="-612" y="15126"/>
                <wp:lineTo x="1837" y="19966"/>
                <wp:lineTo x="5512" y="21176"/>
                <wp:lineTo x="14699" y="21176"/>
                <wp:lineTo x="15312" y="21176"/>
                <wp:lineTo x="17762" y="19966"/>
                <wp:lineTo x="18987" y="19966"/>
                <wp:lineTo x="21437" y="13311"/>
                <wp:lineTo x="21437" y="6655"/>
                <wp:lineTo x="16537" y="605"/>
                <wp:lineTo x="13474" y="605"/>
                <wp:lineTo x="6125" y="605"/>
              </wp:wrapPolygon>
            </wp:wrapThrough>
            <wp:docPr id="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clrChange>
                        <a:clrFrom>
                          <a:srgbClr val="FFFFFF"/>
                        </a:clrFrom>
                        <a:clrTo>
                          <a:srgbClr val="FFFFFF">
                            <a:alpha val="0"/>
                          </a:srgbClr>
                        </a:clrTo>
                      </a:clrChange>
                      <a:lum bright="-6000"/>
                    </a:blip>
                    <a:srcRect/>
                    <a:stretch>
                      <a:fillRect/>
                    </a:stretch>
                  </pic:blipFill>
                  <pic:spPr bwMode="auto">
                    <a:xfrm>
                      <a:off x="0" y="0"/>
                      <a:ext cx="671830" cy="680085"/>
                    </a:xfrm>
                    <a:prstGeom prst="rect">
                      <a:avLst/>
                    </a:prstGeom>
                    <a:noFill/>
                    <a:ln w="9525">
                      <a:noFill/>
                      <a:miter lim="800000"/>
                      <a:headEnd/>
                      <a:tailEnd/>
                    </a:ln>
                  </pic:spPr>
                </pic:pic>
              </a:graphicData>
            </a:graphic>
          </wp:anchor>
        </w:drawing>
      </w:r>
      <w:r>
        <w:rPr>
          <w:b/>
          <w:noProof/>
          <w:lang w:eastAsia="en-PH"/>
        </w:rPr>
        <w:drawing>
          <wp:anchor distT="0" distB="0" distL="114300" distR="114300" simplePos="0" relativeHeight="251672576" behindDoc="0" locked="0" layoutInCell="1" allowOverlap="1">
            <wp:simplePos x="0" y="0"/>
            <wp:positionH relativeFrom="column">
              <wp:posOffset>412115</wp:posOffset>
            </wp:positionH>
            <wp:positionV relativeFrom="paragraph">
              <wp:posOffset>-85090</wp:posOffset>
            </wp:positionV>
            <wp:extent cx="725170" cy="733425"/>
            <wp:effectExtent l="19050" t="0" r="0" b="0"/>
            <wp:wrapThrough wrapText="bothSides">
              <wp:wrapPolygon edited="0">
                <wp:start x="-567" y="0"/>
                <wp:lineTo x="-567" y="21319"/>
                <wp:lineTo x="21562" y="21319"/>
                <wp:lineTo x="21562" y="0"/>
                <wp:lineTo x="-567" y="0"/>
              </wp:wrapPolygon>
            </wp:wrapThrough>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srcRect/>
                    <a:stretch>
                      <a:fillRect/>
                    </a:stretch>
                  </pic:blipFill>
                  <pic:spPr bwMode="auto">
                    <a:xfrm>
                      <a:off x="0" y="0"/>
                      <a:ext cx="725170" cy="733425"/>
                    </a:xfrm>
                    <a:prstGeom prst="rect">
                      <a:avLst/>
                    </a:prstGeom>
                    <a:noFill/>
                    <a:ln w="9525">
                      <a:noFill/>
                      <a:miter lim="800000"/>
                      <a:headEnd/>
                      <a:tailEnd/>
                    </a:ln>
                  </pic:spPr>
                </pic:pic>
              </a:graphicData>
            </a:graphic>
          </wp:anchor>
        </w:drawing>
      </w:r>
      <w:r w:rsidR="00F458D4" w:rsidRPr="00040A4D">
        <w:rPr>
          <w:b/>
        </w:rPr>
        <w:t>ROMBLON STATE UNIVERSITY</w:t>
      </w:r>
    </w:p>
    <w:p w:rsidR="0039636D" w:rsidRPr="00040A4D" w:rsidRDefault="0039636D" w:rsidP="00F458D4">
      <w:pPr>
        <w:spacing w:after="0"/>
        <w:jc w:val="center"/>
        <w:rPr>
          <w:b/>
        </w:rPr>
      </w:pPr>
      <w:r>
        <w:rPr>
          <w:b/>
        </w:rPr>
        <w:t>College of Engineering and Technology</w:t>
      </w:r>
    </w:p>
    <w:p w:rsidR="00F458D4" w:rsidRPr="00040A4D" w:rsidRDefault="00F458D4" w:rsidP="00F458D4">
      <w:pPr>
        <w:spacing w:after="0"/>
        <w:jc w:val="center"/>
        <w:rPr>
          <w:b/>
        </w:rPr>
      </w:pPr>
      <w:r w:rsidRPr="00040A4D">
        <w:rPr>
          <w:b/>
        </w:rPr>
        <w:t>Main Campus, Odiongan, Province of Romblon</w:t>
      </w:r>
    </w:p>
    <w:p w:rsidR="00F458D4" w:rsidRDefault="00F458D4" w:rsidP="00F458D4">
      <w:pPr>
        <w:spacing w:after="0"/>
      </w:pPr>
    </w:p>
    <w:p w:rsidR="00040A4D" w:rsidRDefault="00931C3B" w:rsidP="002E7101">
      <w:pPr>
        <w:spacing w:after="0"/>
        <w:jc w:val="center"/>
        <w:rPr>
          <w:b/>
        </w:rPr>
      </w:pPr>
      <w:r>
        <w:rPr>
          <w:b/>
        </w:rPr>
        <w:t>HANDOUT #2</w:t>
      </w:r>
    </w:p>
    <w:p w:rsidR="008309B8" w:rsidRDefault="00AB6ADD" w:rsidP="00F458D4">
      <w:pPr>
        <w:spacing w:after="0"/>
        <w:rPr>
          <w:b/>
        </w:rPr>
      </w:pPr>
      <w:r>
        <w:rPr>
          <w:b/>
        </w:rPr>
        <w:t>CE4113 ENVIRONMENTAL ENGINEERING</w:t>
      </w:r>
      <w:r w:rsidR="0039636D">
        <w:rPr>
          <w:b/>
        </w:rPr>
        <w:tab/>
      </w:r>
      <w:r w:rsidR="0039636D">
        <w:rPr>
          <w:b/>
        </w:rPr>
        <w:tab/>
      </w:r>
      <w:r w:rsidR="0039636D">
        <w:rPr>
          <w:b/>
        </w:rPr>
        <w:tab/>
      </w:r>
      <w:r w:rsidR="0039636D">
        <w:rPr>
          <w:b/>
        </w:rPr>
        <w:tab/>
      </w:r>
      <w:r w:rsidR="0039636D">
        <w:rPr>
          <w:b/>
        </w:rPr>
        <w:tab/>
      </w:r>
      <w:r>
        <w:rPr>
          <w:b/>
        </w:rPr>
        <w:t>TTH – 11</w:t>
      </w:r>
      <w:r w:rsidR="00E054D3">
        <w:rPr>
          <w:b/>
        </w:rPr>
        <w:t>:</w:t>
      </w:r>
      <w:r>
        <w:rPr>
          <w:b/>
        </w:rPr>
        <w:t>0</w:t>
      </w:r>
      <w:r w:rsidR="007E1E5D">
        <w:rPr>
          <w:b/>
        </w:rPr>
        <w:t>0AM</w:t>
      </w:r>
      <w:r w:rsidR="00E054D3">
        <w:rPr>
          <w:b/>
        </w:rPr>
        <w:t xml:space="preserve"> –</w:t>
      </w:r>
      <w:r>
        <w:rPr>
          <w:b/>
        </w:rPr>
        <w:t xml:space="preserve"> 12</w:t>
      </w:r>
      <w:r w:rsidR="00E054D3">
        <w:rPr>
          <w:b/>
        </w:rPr>
        <w:t>:</w:t>
      </w:r>
      <w:r>
        <w:rPr>
          <w:b/>
        </w:rPr>
        <w:t>30p</w:t>
      </w:r>
      <w:r w:rsidR="00E054D3">
        <w:rPr>
          <w:b/>
        </w:rPr>
        <w:t>M</w:t>
      </w:r>
    </w:p>
    <w:p w:rsidR="0039636D" w:rsidRDefault="007E1E5D" w:rsidP="0039636D">
      <w:pPr>
        <w:spacing w:after="0"/>
        <w:rPr>
          <w:b/>
        </w:rPr>
      </w:pPr>
      <w:r>
        <w:rPr>
          <w:b/>
        </w:rPr>
        <w:t>Engr. Reynaldo P Ramos, PhD</w:t>
      </w:r>
      <w:r>
        <w:rPr>
          <w:b/>
        </w:rPr>
        <w:tab/>
      </w:r>
      <w:r>
        <w:rPr>
          <w:b/>
        </w:rPr>
        <w:tab/>
      </w:r>
      <w:r>
        <w:rPr>
          <w:b/>
        </w:rPr>
        <w:tab/>
      </w:r>
      <w:r>
        <w:rPr>
          <w:b/>
        </w:rPr>
        <w:tab/>
      </w:r>
      <w:r>
        <w:rPr>
          <w:b/>
        </w:rPr>
        <w:tab/>
      </w:r>
      <w:r>
        <w:rPr>
          <w:b/>
        </w:rPr>
        <w:tab/>
      </w:r>
      <w:r>
        <w:rPr>
          <w:b/>
        </w:rPr>
        <w:tab/>
      </w:r>
      <w:r w:rsidR="00AB6ADD">
        <w:rPr>
          <w:b/>
        </w:rPr>
        <w:t>TTH</w:t>
      </w:r>
      <w:r w:rsidR="00FE6460">
        <w:rPr>
          <w:b/>
        </w:rPr>
        <w:t xml:space="preserve"> –</w:t>
      </w:r>
      <w:r w:rsidR="00AB6ADD">
        <w:rPr>
          <w:b/>
        </w:rPr>
        <w:t xml:space="preserve"> 3</w:t>
      </w:r>
      <w:r w:rsidR="00FE6460">
        <w:rPr>
          <w:b/>
        </w:rPr>
        <w:t>:</w:t>
      </w:r>
      <w:r w:rsidR="00AB6ADD">
        <w:rPr>
          <w:b/>
        </w:rPr>
        <w:t>00P</w:t>
      </w:r>
      <w:r w:rsidR="00FE6460">
        <w:rPr>
          <w:b/>
        </w:rPr>
        <w:t>M –</w:t>
      </w:r>
      <w:r w:rsidR="00AB6ADD">
        <w:rPr>
          <w:b/>
        </w:rPr>
        <w:t xml:space="preserve"> 4</w:t>
      </w:r>
      <w:r w:rsidR="00FE6460">
        <w:rPr>
          <w:b/>
        </w:rPr>
        <w:t>:</w:t>
      </w:r>
      <w:r w:rsidR="00AB6ADD">
        <w:rPr>
          <w:b/>
        </w:rPr>
        <w:t>30P</w:t>
      </w:r>
      <w:r w:rsidR="00FE6460">
        <w:rPr>
          <w:b/>
        </w:rPr>
        <w:t>M</w:t>
      </w:r>
    </w:p>
    <w:p w:rsidR="0039636D" w:rsidRDefault="0039636D" w:rsidP="0039636D">
      <w:pPr>
        <w:spacing w:after="0"/>
        <w:rPr>
          <w:b/>
        </w:rPr>
      </w:pPr>
    </w:p>
    <w:p w:rsidR="009C2B83" w:rsidRDefault="009C2B83" w:rsidP="00931C3B">
      <w:pPr>
        <w:spacing w:after="0"/>
        <w:rPr>
          <w:b/>
        </w:rPr>
      </w:pPr>
      <w:r>
        <w:rPr>
          <w:b/>
        </w:rPr>
        <w:t>SUSTAINABLE ENGINEERING</w:t>
      </w:r>
    </w:p>
    <w:p w:rsidR="009C2B83" w:rsidRDefault="009C2B83" w:rsidP="00931C3B">
      <w:pPr>
        <w:spacing w:after="0"/>
      </w:pPr>
      <w:r w:rsidRPr="009C2B83">
        <w:t xml:space="preserve">It is defined </w:t>
      </w:r>
      <w:r>
        <w:t>as the design of human and industrial systems to ensure that humankind’s use of natural resources and cycles do not lead to diminished quality of life due either to losses in future economic opportunities or adverse impacts on social conditions, human health, and the environment (Mihelcic et al., 2003; As cited by Mihelcic &amp; Zimmerman, 2010).</w:t>
      </w:r>
    </w:p>
    <w:p w:rsidR="009C2B83" w:rsidRDefault="009C2B83" w:rsidP="00931C3B">
      <w:pPr>
        <w:spacing w:after="0"/>
      </w:pPr>
    </w:p>
    <w:p w:rsidR="009C2B83" w:rsidRPr="009C2B83" w:rsidRDefault="009C2B83" w:rsidP="00931C3B">
      <w:pPr>
        <w:spacing w:after="0"/>
        <w:rPr>
          <w:b/>
        </w:rPr>
      </w:pPr>
      <w:r w:rsidRPr="009C2B83">
        <w:rPr>
          <w:b/>
        </w:rPr>
        <w:t>UNITED NATIONS (UN) CONFERENCE ON THE HUM</w:t>
      </w:r>
      <w:r w:rsidR="00B95242">
        <w:rPr>
          <w:b/>
        </w:rPr>
        <w:t>A</w:t>
      </w:r>
      <w:r w:rsidRPr="009C2B83">
        <w:rPr>
          <w:b/>
        </w:rPr>
        <w:t>N ENVIRONMENT (Stockholm, 1972)</w:t>
      </w:r>
    </w:p>
    <w:p w:rsidR="009C2B83" w:rsidRPr="009C2B83" w:rsidRDefault="009C2B83" w:rsidP="00931C3B">
      <w:pPr>
        <w:spacing w:after="0"/>
        <w:rPr>
          <w:i/>
        </w:rPr>
      </w:pPr>
      <w:r w:rsidRPr="009C2B83">
        <w:rPr>
          <w:i/>
        </w:rPr>
        <w:t>Principle 1: Man has the fundamental right to freedom, equality, and adequate conditions of life, environment of quality that permits a life of dignity and well-being, and he bears a solemn responsibility to protect and improve the environment for present and future generations.</w:t>
      </w:r>
    </w:p>
    <w:p w:rsidR="009C2B83" w:rsidRPr="009C2B83" w:rsidRDefault="009C2B83" w:rsidP="00931C3B">
      <w:pPr>
        <w:spacing w:after="0"/>
        <w:rPr>
          <w:i/>
        </w:rPr>
      </w:pPr>
    </w:p>
    <w:p w:rsidR="009C2B83" w:rsidRPr="009C2B83" w:rsidRDefault="009C2B83" w:rsidP="00931C3B">
      <w:pPr>
        <w:spacing w:after="0"/>
        <w:rPr>
          <w:i/>
        </w:rPr>
      </w:pPr>
      <w:r w:rsidRPr="009C2B83">
        <w:rPr>
          <w:i/>
        </w:rPr>
        <w:t xml:space="preserve">Principle 2: </w:t>
      </w:r>
      <w:r w:rsidR="00B95242">
        <w:rPr>
          <w:i/>
        </w:rPr>
        <w:t>The natural resources of the earth including air, water, land, flora, and fauna and especially representative samples of natural ecosystems must be safeguarded for the benefit of present and future generations through careful planning and management, as appropriate.</w:t>
      </w:r>
    </w:p>
    <w:p w:rsidR="009C2B83" w:rsidRDefault="009C2B83" w:rsidP="00931C3B">
      <w:pPr>
        <w:spacing w:after="0"/>
      </w:pPr>
    </w:p>
    <w:p w:rsidR="00FF31CD" w:rsidRDefault="00931C3B" w:rsidP="00931C3B">
      <w:pPr>
        <w:spacing w:after="0"/>
        <w:rPr>
          <w:b/>
        </w:rPr>
      </w:pPr>
      <w:r>
        <w:rPr>
          <w:b/>
        </w:rPr>
        <w:t xml:space="preserve">MILLENIUM DEVELOPMENT GOALS </w:t>
      </w:r>
      <w:r w:rsidR="00FF31CD">
        <w:rPr>
          <w:b/>
        </w:rPr>
        <w:t>(MDGs)</w:t>
      </w:r>
    </w:p>
    <w:p w:rsidR="00FF31CD" w:rsidRPr="00FF31CD" w:rsidRDefault="00B95242" w:rsidP="00931C3B">
      <w:pPr>
        <w:spacing w:after="0"/>
      </w:pPr>
      <w:r w:rsidRPr="00FF31CD">
        <w:t>World Summit on Sustainable Development</w:t>
      </w:r>
      <w:r w:rsidR="00FF31CD" w:rsidRPr="00FF31CD">
        <w:t xml:space="preserve"> in Johannesburg, South Africa</w:t>
      </w:r>
      <w:r w:rsidR="00FF31CD">
        <w:t xml:space="preserve"> in 2002</w:t>
      </w:r>
      <w:r w:rsidR="00FF31CD" w:rsidRPr="00FF31CD">
        <w:t>. For</w:t>
      </w:r>
      <w:r w:rsidR="00FF31CD">
        <w:t xml:space="preserve"> each goal, one or more targets have been set, most of achievement by 2015, using 1990 as a benchmark. (</w:t>
      </w:r>
      <w:hyperlink r:id="rId10" w:history="1">
        <w:r w:rsidR="00FF31CD" w:rsidRPr="00CE6FD1">
          <w:rPr>
            <w:rStyle w:val="Hyperlink"/>
          </w:rPr>
          <w:t>www.un.org/milleniumgoals/</w:t>
        </w:r>
      </w:hyperlink>
      <w:r w:rsidR="00FF31CD">
        <w:t xml:space="preserve">) </w:t>
      </w:r>
    </w:p>
    <w:p w:rsidR="00931C3B" w:rsidRDefault="00931C3B" w:rsidP="00931C3B">
      <w:pPr>
        <w:spacing w:after="0"/>
        <w:rPr>
          <w:b/>
        </w:rPr>
      </w:pPr>
      <w:hyperlink r:id="rId11" w:history="1">
        <w:r w:rsidRPr="00CE6FD1">
          <w:rPr>
            <w:rStyle w:val="Hyperlink"/>
            <w:b/>
          </w:rPr>
          <w:t>http://www.undp.org/content/undp/en/home/sdgoverview/mdg_goals.html</w:t>
        </w:r>
      </w:hyperlink>
    </w:p>
    <w:p w:rsidR="00931C3B" w:rsidRDefault="00931C3B" w:rsidP="00931C3B">
      <w:pPr>
        <w:spacing w:after="0"/>
        <w:rPr>
          <w:b/>
        </w:rPr>
      </w:pPr>
    </w:p>
    <w:p w:rsidR="00931C3B" w:rsidRDefault="00931C3B" w:rsidP="00931C3B">
      <w:pPr>
        <w:pStyle w:val="ListParagraph"/>
        <w:numPr>
          <w:ilvl w:val="0"/>
          <w:numId w:val="18"/>
        </w:numPr>
        <w:spacing w:after="0" w:line="240" w:lineRule="auto"/>
        <w:rPr>
          <w:rFonts w:eastAsia="Times New Roman" w:cs="Times New Roman"/>
          <w:lang w:eastAsia="en-PH"/>
        </w:rPr>
      </w:pPr>
      <w:r w:rsidRPr="006E58F4">
        <w:rPr>
          <w:rFonts w:eastAsia="Times New Roman" w:cs="Times New Roman"/>
          <w:lang w:eastAsia="en-PH"/>
        </w:rPr>
        <w:t>To eradicate </w:t>
      </w:r>
      <w:hyperlink r:id="rId12" w:tooltip="Extreme poverty" w:history="1">
        <w:r w:rsidRPr="006E58F4">
          <w:rPr>
            <w:rFonts w:eastAsia="Times New Roman" w:cs="Times New Roman"/>
            <w:lang w:eastAsia="en-PH"/>
          </w:rPr>
          <w:t>extreme poverty</w:t>
        </w:r>
      </w:hyperlink>
      <w:r w:rsidRPr="006E58F4">
        <w:rPr>
          <w:rFonts w:eastAsia="Times New Roman" w:cs="Times New Roman"/>
          <w:lang w:eastAsia="en-PH"/>
        </w:rPr>
        <w:t> and </w:t>
      </w:r>
      <w:hyperlink r:id="rId13" w:tooltip="Hunger" w:history="1">
        <w:r w:rsidRPr="006E58F4">
          <w:rPr>
            <w:rFonts w:eastAsia="Times New Roman" w:cs="Times New Roman"/>
            <w:lang w:eastAsia="en-PH"/>
          </w:rPr>
          <w:t>hunger</w:t>
        </w:r>
      </w:hyperlink>
      <w:r w:rsidR="00FF31CD">
        <w:t xml:space="preserve"> - (</w:t>
      </w:r>
      <w:r w:rsidR="00FF31CD" w:rsidRPr="00FF31CD">
        <w:rPr>
          <w:i/>
        </w:rPr>
        <w:t>More than a billion people still live on less than &amp;1 a day.  Target: Ha</w:t>
      </w:r>
      <w:r w:rsidR="00E17317">
        <w:rPr>
          <w:i/>
        </w:rPr>
        <w:t>l</w:t>
      </w:r>
      <w:r w:rsidR="00FF31CD" w:rsidRPr="00FF31CD">
        <w:rPr>
          <w:i/>
        </w:rPr>
        <w:t>ve of the proportion of people living on less than $1 a day and those who suffer from hunger</w:t>
      </w:r>
      <w:r w:rsidR="00FF31CD">
        <w:t>)</w:t>
      </w:r>
    </w:p>
    <w:p w:rsidR="00931C3B" w:rsidRDefault="00931C3B" w:rsidP="00931C3B">
      <w:pPr>
        <w:pStyle w:val="ListParagraph"/>
        <w:numPr>
          <w:ilvl w:val="0"/>
          <w:numId w:val="18"/>
        </w:numPr>
        <w:spacing w:after="0" w:line="240" w:lineRule="auto"/>
        <w:rPr>
          <w:rFonts w:eastAsia="Times New Roman" w:cs="Times New Roman"/>
          <w:lang w:eastAsia="en-PH"/>
        </w:rPr>
      </w:pPr>
      <w:r w:rsidRPr="006E58F4">
        <w:rPr>
          <w:rFonts w:eastAsia="Times New Roman" w:cs="Times New Roman"/>
          <w:lang w:eastAsia="en-PH"/>
        </w:rPr>
        <w:t>To achieve </w:t>
      </w:r>
      <w:hyperlink r:id="rId14" w:tooltip="Universal primary education" w:history="1">
        <w:r w:rsidRPr="006E58F4">
          <w:rPr>
            <w:rFonts w:eastAsia="Times New Roman" w:cs="Times New Roman"/>
            <w:lang w:eastAsia="en-PH"/>
          </w:rPr>
          <w:t>universal primary education</w:t>
        </w:r>
      </w:hyperlink>
      <w:r w:rsidR="00FF31CD">
        <w:t xml:space="preserve"> – (</w:t>
      </w:r>
      <w:r w:rsidR="00FF31CD" w:rsidRPr="00FF31CD">
        <w:rPr>
          <w:i/>
        </w:rPr>
        <w:t>As many as 113 million children do not attend school. Target: Ensure that all boys and girls complete primary school</w:t>
      </w:r>
      <w:r w:rsidR="00FF31CD">
        <w:t>)</w:t>
      </w:r>
    </w:p>
    <w:p w:rsidR="00931C3B" w:rsidRDefault="00931C3B" w:rsidP="00931C3B">
      <w:pPr>
        <w:pStyle w:val="ListParagraph"/>
        <w:numPr>
          <w:ilvl w:val="0"/>
          <w:numId w:val="18"/>
        </w:numPr>
        <w:spacing w:after="0" w:line="240" w:lineRule="auto"/>
        <w:rPr>
          <w:rFonts w:eastAsia="Times New Roman" w:cs="Times New Roman"/>
          <w:lang w:eastAsia="en-PH"/>
        </w:rPr>
      </w:pPr>
      <w:r w:rsidRPr="006E58F4">
        <w:rPr>
          <w:rFonts w:eastAsia="Times New Roman" w:cs="Times New Roman"/>
          <w:lang w:eastAsia="en-PH"/>
        </w:rPr>
        <w:t>To promote </w:t>
      </w:r>
      <w:hyperlink r:id="rId15" w:tooltip="Gender equality" w:history="1">
        <w:r w:rsidRPr="006E58F4">
          <w:rPr>
            <w:rFonts w:eastAsia="Times New Roman" w:cs="Times New Roman"/>
            <w:lang w:eastAsia="en-PH"/>
          </w:rPr>
          <w:t>gender equality</w:t>
        </w:r>
      </w:hyperlink>
      <w:r w:rsidRPr="006E58F4">
        <w:rPr>
          <w:rFonts w:eastAsia="Times New Roman" w:cs="Times New Roman"/>
          <w:lang w:eastAsia="en-PH"/>
        </w:rPr>
        <w:t> and empower women</w:t>
      </w:r>
      <w:r w:rsidR="00FF31CD">
        <w:rPr>
          <w:rFonts w:eastAsia="Times New Roman" w:cs="Times New Roman"/>
          <w:lang w:eastAsia="en-PH"/>
        </w:rPr>
        <w:t xml:space="preserve"> – (</w:t>
      </w:r>
      <w:r w:rsidR="00FF31CD" w:rsidRPr="00FF31CD">
        <w:rPr>
          <w:rFonts w:eastAsia="Times New Roman" w:cs="Times New Roman"/>
          <w:i/>
          <w:lang w:eastAsia="en-PH"/>
        </w:rPr>
        <w:t>Two-thirds of illiterates are women, and the rate of employment among women is two-thirds that of men</w:t>
      </w:r>
      <w:r w:rsidR="00FF31CD">
        <w:rPr>
          <w:rFonts w:eastAsia="Times New Roman" w:cs="Times New Roman"/>
          <w:i/>
          <w:lang w:eastAsia="en-PH"/>
        </w:rPr>
        <w:t>. Target: Eliminate gender disparities in primary and secondary education preferably by 2005, and at all levels by 2015</w:t>
      </w:r>
      <w:r w:rsidR="00FF31CD">
        <w:rPr>
          <w:rFonts w:eastAsia="Times New Roman" w:cs="Times New Roman"/>
          <w:lang w:eastAsia="en-PH"/>
        </w:rPr>
        <w:t>)</w:t>
      </w:r>
    </w:p>
    <w:p w:rsidR="00931C3B" w:rsidRPr="00FF31CD" w:rsidRDefault="00931C3B" w:rsidP="00931C3B">
      <w:pPr>
        <w:pStyle w:val="ListParagraph"/>
        <w:numPr>
          <w:ilvl w:val="0"/>
          <w:numId w:val="18"/>
        </w:numPr>
        <w:spacing w:after="0" w:line="240" w:lineRule="auto"/>
        <w:rPr>
          <w:rFonts w:eastAsia="Times New Roman" w:cs="Times New Roman"/>
          <w:i/>
          <w:lang w:eastAsia="en-PH"/>
        </w:rPr>
      </w:pPr>
      <w:r w:rsidRPr="006E58F4">
        <w:rPr>
          <w:rFonts w:eastAsia="Times New Roman" w:cs="Times New Roman"/>
          <w:lang w:eastAsia="en-PH"/>
        </w:rPr>
        <w:t>To reduce </w:t>
      </w:r>
      <w:hyperlink r:id="rId16" w:tooltip="Child mortality" w:history="1">
        <w:r w:rsidRPr="006E58F4">
          <w:rPr>
            <w:rFonts w:eastAsia="Times New Roman" w:cs="Times New Roman"/>
            <w:lang w:eastAsia="en-PH"/>
          </w:rPr>
          <w:t>child mortality</w:t>
        </w:r>
      </w:hyperlink>
      <w:r w:rsidR="00FF31CD">
        <w:t xml:space="preserve"> – </w:t>
      </w:r>
      <w:r w:rsidR="00FF31CD" w:rsidRPr="00FF31CD">
        <w:rPr>
          <w:i/>
        </w:rPr>
        <w:t>(Every year, nearly 11 million young children die before their 5</w:t>
      </w:r>
      <w:r w:rsidR="00FF31CD" w:rsidRPr="00FF31CD">
        <w:rPr>
          <w:i/>
          <w:vertAlign w:val="superscript"/>
        </w:rPr>
        <w:t>th</w:t>
      </w:r>
      <w:r w:rsidR="00FF31CD" w:rsidRPr="00FF31CD">
        <w:rPr>
          <w:i/>
        </w:rPr>
        <w:t xml:space="preserve"> birthday, mainly from preventable illnesses. Target</w:t>
      </w:r>
      <w:r w:rsidR="00A8128B">
        <w:rPr>
          <w:i/>
        </w:rPr>
        <w:t>: Reduce by 2/3 the mortality rate among children under 5)</w:t>
      </w:r>
    </w:p>
    <w:p w:rsidR="00931C3B" w:rsidRDefault="00931C3B" w:rsidP="00931C3B">
      <w:pPr>
        <w:pStyle w:val="ListParagraph"/>
        <w:numPr>
          <w:ilvl w:val="0"/>
          <w:numId w:val="18"/>
        </w:numPr>
        <w:spacing w:after="0" w:line="240" w:lineRule="auto"/>
        <w:rPr>
          <w:rFonts w:eastAsia="Times New Roman" w:cs="Times New Roman"/>
          <w:lang w:eastAsia="en-PH"/>
        </w:rPr>
      </w:pPr>
      <w:r w:rsidRPr="006E58F4">
        <w:rPr>
          <w:rFonts w:eastAsia="Times New Roman" w:cs="Times New Roman"/>
          <w:lang w:eastAsia="en-PH"/>
        </w:rPr>
        <w:t>To improve </w:t>
      </w:r>
      <w:hyperlink r:id="rId17" w:tooltip="Maternal health" w:history="1">
        <w:r w:rsidRPr="006E58F4">
          <w:rPr>
            <w:rFonts w:eastAsia="Times New Roman" w:cs="Times New Roman"/>
            <w:lang w:eastAsia="en-PH"/>
          </w:rPr>
          <w:t>maternal health</w:t>
        </w:r>
      </w:hyperlink>
      <w:r w:rsidR="00A8128B">
        <w:t xml:space="preserve"> – </w:t>
      </w:r>
      <w:r w:rsidR="00A8128B" w:rsidRPr="00A8128B">
        <w:rPr>
          <w:i/>
        </w:rPr>
        <w:t>(In the developing world the risk of dying in childbirth is one in 48. Target: Reduce by</w:t>
      </w:r>
      <w:r w:rsidR="00A8128B">
        <w:rPr>
          <w:i/>
        </w:rPr>
        <w:t xml:space="preserve"> three-quarters</w:t>
      </w:r>
      <w:r w:rsidR="00A8128B" w:rsidRPr="00A8128B">
        <w:rPr>
          <w:i/>
        </w:rPr>
        <w:t xml:space="preserve"> the ratio of women dying in childbirth)</w:t>
      </w:r>
    </w:p>
    <w:p w:rsidR="00931C3B" w:rsidRPr="00A8128B" w:rsidRDefault="00931C3B" w:rsidP="00931C3B">
      <w:pPr>
        <w:pStyle w:val="ListParagraph"/>
        <w:numPr>
          <w:ilvl w:val="0"/>
          <w:numId w:val="18"/>
        </w:numPr>
        <w:spacing w:after="0" w:line="240" w:lineRule="auto"/>
        <w:rPr>
          <w:rFonts w:eastAsia="Times New Roman" w:cs="Times New Roman"/>
          <w:i/>
          <w:lang w:eastAsia="en-PH"/>
        </w:rPr>
      </w:pPr>
      <w:r w:rsidRPr="006E58F4">
        <w:rPr>
          <w:rFonts w:eastAsia="Times New Roman" w:cs="Times New Roman"/>
          <w:lang w:eastAsia="en-PH"/>
        </w:rPr>
        <w:t>To combat </w:t>
      </w:r>
      <w:hyperlink r:id="rId18" w:tooltip="HIV/AIDS" w:history="1">
        <w:r w:rsidRPr="006E58F4">
          <w:rPr>
            <w:rFonts w:eastAsia="Times New Roman" w:cs="Times New Roman"/>
            <w:lang w:eastAsia="en-PH"/>
          </w:rPr>
          <w:t>HIV/AIDS</w:t>
        </w:r>
      </w:hyperlink>
      <w:r w:rsidRPr="006E58F4">
        <w:rPr>
          <w:rFonts w:eastAsia="Times New Roman" w:cs="Times New Roman"/>
          <w:lang w:eastAsia="en-PH"/>
        </w:rPr>
        <w:t>, </w:t>
      </w:r>
      <w:hyperlink r:id="rId19" w:tooltip="Malaria" w:history="1">
        <w:r w:rsidRPr="006E58F4">
          <w:rPr>
            <w:rFonts w:eastAsia="Times New Roman" w:cs="Times New Roman"/>
            <w:lang w:eastAsia="en-PH"/>
          </w:rPr>
          <w:t>malaria</w:t>
        </w:r>
      </w:hyperlink>
      <w:r w:rsidRPr="006E58F4">
        <w:rPr>
          <w:rFonts w:eastAsia="Times New Roman" w:cs="Times New Roman"/>
          <w:lang w:eastAsia="en-PH"/>
        </w:rPr>
        <w:t>, and other diseases</w:t>
      </w:r>
      <w:r w:rsidR="00A8128B">
        <w:rPr>
          <w:rFonts w:eastAsia="Times New Roman" w:cs="Times New Roman"/>
          <w:lang w:eastAsia="en-PH"/>
        </w:rPr>
        <w:t xml:space="preserve"> – </w:t>
      </w:r>
      <w:r w:rsidR="00A8128B" w:rsidRPr="00A8128B">
        <w:rPr>
          <w:rFonts w:eastAsia="Times New Roman" w:cs="Times New Roman"/>
          <w:i/>
          <w:lang w:eastAsia="en-PH"/>
        </w:rPr>
        <w:t>(40 million people are living with HIV, including 5 million newly infected in 2001. Target: Halt and begin to reverse the spread of HIV/AIDS and the incidence of malaria and other major diseases)</w:t>
      </w:r>
    </w:p>
    <w:p w:rsidR="00931C3B" w:rsidRPr="00851D6B" w:rsidRDefault="00931C3B" w:rsidP="00931C3B">
      <w:pPr>
        <w:pStyle w:val="ListParagraph"/>
        <w:numPr>
          <w:ilvl w:val="0"/>
          <w:numId w:val="18"/>
        </w:numPr>
        <w:spacing w:after="0" w:line="240" w:lineRule="auto"/>
        <w:rPr>
          <w:rFonts w:eastAsia="Times New Roman" w:cs="Times New Roman"/>
          <w:i/>
          <w:lang w:eastAsia="en-PH"/>
        </w:rPr>
      </w:pPr>
      <w:r w:rsidRPr="006E58F4">
        <w:rPr>
          <w:rFonts w:eastAsia="Times New Roman" w:cs="Times New Roman"/>
          <w:lang w:eastAsia="en-PH"/>
        </w:rPr>
        <w:t>To ensure environmental sustainability</w:t>
      </w:r>
      <w:r w:rsidR="00851D6B">
        <w:rPr>
          <w:rFonts w:eastAsia="Times New Roman" w:cs="Times New Roman"/>
          <w:lang w:eastAsia="en-PH"/>
        </w:rPr>
        <w:t xml:space="preserve"> – </w:t>
      </w:r>
      <w:r w:rsidR="00851D6B" w:rsidRPr="00851D6B">
        <w:rPr>
          <w:rFonts w:eastAsia="Times New Roman" w:cs="Times New Roman"/>
          <w:i/>
          <w:lang w:eastAsia="en-PH"/>
        </w:rPr>
        <w:t>(More than 1 billion people lack access to safe drinking water and more than 2 million people lack sanitation. Target: Integrate the principles of sustainable development into country policies and programs and reverse the loss of environmental resource</w:t>
      </w:r>
      <w:r w:rsidR="00851D6B">
        <w:rPr>
          <w:rFonts w:eastAsia="Times New Roman" w:cs="Times New Roman"/>
          <w:i/>
          <w:lang w:eastAsia="en-PH"/>
        </w:rPr>
        <w:t>; Reduce by half the proportion of people without access to safe drinking water; Achieve significant improvement in the lives of at least 100 million slum dwellers)</w:t>
      </w:r>
    </w:p>
    <w:p w:rsidR="00931C3B" w:rsidRDefault="00931C3B" w:rsidP="00931C3B">
      <w:pPr>
        <w:pStyle w:val="ListParagraph"/>
        <w:numPr>
          <w:ilvl w:val="0"/>
          <w:numId w:val="18"/>
        </w:numPr>
        <w:spacing w:after="0" w:line="240" w:lineRule="auto"/>
        <w:rPr>
          <w:rFonts w:eastAsia="Times New Roman" w:cs="Times New Roman"/>
          <w:lang w:eastAsia="en-PH"/>
        </w:rPr>
      </w:pPr>
      <w:r w:rsidRPr="006E58F4">
        <w:rPr>
          <w:rFonts w:eastAsia="Times New Roman" w:cs="Times New Roman"/>
          <w:lang w:eastAsia="en-PH"/>
        </w:rPr>
        <w:lastRenderedPageBreak/>
        <w:t>To develop a global partnership for development</w:t>
      </w:r>
      <w:r w:rsidR="00851D6B">
        <w:rPr>
          <w:rFonts w:eastAsia="Times New Roman" w:cs="Times New Roman"/>
          <w:lang w:eastAsia="en-PH"/>
        </w:rPr>
        <w:t xml:space="preserve"> – (</w:t>
      </w:r>
      <w:r w:rsidR="00726AA9" w:rsidRPr="00726AA9">
        <w:rPr>
          <w:rFonts w:eastAsia="Times New Roman" w:cs="Times New Roman"/>
          <w:i/>
          <w:lang w:eastAsia="en-PH"/>
        </w:rPr>
        <w:t>Target: Address the special needs of the least-developed countries; In cooperation with the private sector, make available the benefit of new technologies, especially information and communications</w:t>
      </w:r>
      <w:r w:rsidR="00726AA9">
        <w:rPr>
          <w:rFonts w:eastAsia="Times New Roman" w:cs="Times New Roman"/>
          <w:lang w:eastAsia="en-PH"/>
        </w:rPr>
        <w:t>)</w:t>
      </w:r>
    </w:p>
    <w:p w:rsidR="00931C3B" w:rsidRDefault="00931C3B" w:rsidP="00931C3B">
      <w:pPr>
        <w:spacing w:after="0" w:line="240" w:lineRule="auto"/>
        <w:rPr>
          <w:rFonts w:eastAsia="Times New Roman" w:cs="Times New Roman"/>
          <w:lang w:eastAsia="en-PH"/>
        </w:rPr>
      </w:pPr>
    </w:p>
    <w:p w:rsidR="00931C3B" w:rsidRDefault="00931C3B" w:rsidP="00931C3B">
      <w:pPr>
        <w:spacing w:after="0" w:line="240" w:lineRule="auto"/>
        <w:rPr>
          <w:rFonts w:eastAsia="Times New Roman" w:cs="Times New Roman"/>
          <w:b/>
          <w:lang w:eastAsia="en-PH"/>
        </w:rPr>
      </w:pPr>
      <w:r w:rsidRPr="006E58F4">
        <w:rPr>
          <w:rFonts w:eastAsia="Times New Roman" w:cs="Times New Roman"/>
          <w:b/>
          <w:lang w:eastAsia="en-PH"/>
        </w:rPr>
        <w:t>2030 Sustainable Development Goals (SDGs)</w:t>
      </w:r>
    </w:p>
    <w:p w:rsidR="00597BB1" w:rsidRDefault="00597BB1" w:rsidP="00931C3B">
      <w:pPr>
        <w:spacing w:after="0" w:line="240" w:lineRule="auto"/>
        <w:rPr>
          <w:rFonts w:eastAsia="Times New Roman" w:cs="Times New Roman"/>
          <w:b/>
          <w:lang w:eastAsia="en-PH"/>
        </w:rPr>
      </w:pPr>
      <w:hyperlink r:id="rId20" w:history="1">
        <w:r w:rsidRPr="00CE6FD1">
          <w:rPr>
            <w:rStyle w:val="Hyperlink"/>
            <w:rFonts w:eastAsia="Times New Roman" w:cs="Times New Roman"/>
            <w:b/>
            <w:lang w:eastAsia="en-PH"/>
          </w:rPr>
          <w:t>https://sustainabledevelopment.un.org/sdgs</w:t>
        </w:r>
      </w:hyperlink>
      <w:r>
        <w:rPr>
          <w:rFonts w:eastAsia="Times New Roman" w:cs="Times New Roman"/>
          <w:b/>
          <w:lang w:eastAsia="en-PH"/>
        </w:rPr>
        <w:t xml:space="preserve"> </w:t>
      </w:r>
    </w:p>
    <w:p w:rsidR="00726AA9" w:rsidRDefault="00726AA9" w:rsidP="00931C3B">
      <w:pPr>
        <w:spacing w:after="0" w:line="240" w:lineRule="auto"/>
        <w:rPr>
          <w:rFonts w:eastAsia="Times New Roman" w:cs="Times New Roman"/>
          <w:b/>
          <w:lang w:eastAsia="en-PH"/>
        </w:rPr>
      </w:pPr>
      <w:hyperlink r:id="rId21" w:history="1">
        <w:r w:rsidRPr="00CE6FD1">
          <w:rPr>
            <w:rStyle w:val="Hyperlink"/>
            <w:rFonts w:eastAsia="Times New Roman" w:cs="Times New Roman"/>
            <w:b/>
            <w:lang w:eastAsia="en-PH"/>
          </w:rPr>
          <w:t>https://sustainabledevelopment.un.org/post2015/transformingourworld</w:t>
        </w:r>
      </w:hyperlink>
    </w:p>
    <w:p w:rsidR="00931C3B" w:rsidRDefault="00B95242" w:rsidP="00931C3B">
      <w:pPr>
        <w:spacing w:after="0"/>
        <w:rPr>
          <w:b/>
        </w:rPr>
      </w:pPr>
      <w:hyperlink r:id="rId22" w:history="1">
        <w:r w:rsidRPr="00CE6FD1">
          <w:rPr>
            <w:rStyle w:val="Hyperlink"/>
            <w:b/>
          </w:rPr>
          <w:t>http://www.undp.org/content/undp/en/home/sdgoverview/post-2015-development-agenda.html</w:t>
        </w:r>
      </w:hyperlink>
    </w:p>
    <w:p w:rsidR="00726AA9" w:rsidRPr="00726AA9" w:rsidRDefault="00726AA9" w:rsidP="00726AA9">
      <w:pPr>
        <w:spacing w:after="0"/>
        <w:jc w:val="both"/>
        <w:rPr>
          <w:rFonts w:cs="Arial"/>
          <w:shd w:val="clear" w:color="auto" w:fill="FFFFFF"/>
        </w:rPr>
      </w:pPr>
      <w:r w:rsidRPr="00726AA9">
        <w:rPr>
          <w:rFonts w:cs="Arial"/>
          <w:shd w:val="clear" w:color="auto" w:fill="FFFFFF"/>
        </w:rPr>
        <w:t>This Agenda is a plan of action for people, planet and prosperity. It also seeks to strengthen universal peace in larger freedom. We recognise that eradicating poverty in all its forms and dimensions, including extreme poverty, is the greatest global challenge and an indispensable requirement for sustainable developmen</w:t>
      </w:r>
      <w:r>
        <w:rPr>
          <w:rFonts w:cs="Arial"/>
          <w:shd w:val="clear" w:color="auto" w:fill="FFFFFF"/>
        </w:rPr>
        <w:t xml:space="preserve">t. </w:t>
      </w:r>
      <w:r w:rsidRPr="00726AA9">
        <w:rPr>
          <w:rFonts w:cs="Arial"/>
          <w:shd w:val="clear" w:color="auto" w:fill="FFFFFF"/>
        </w:rPr>
        <w:t>The</w:t>
      </w:r>
      <w:r>
        <w:rPr>
          <w:rFonts w:cs="Arial"/>
          <w:shd w:val="clear" w:color="auto" w:fill="FFFFFF"/>
        </w:rPr>
        <w:t>se</w:t>
      </w:r>
      <w:r w:rsidRPr="00726AA9">
        <w:rPr>
          <w:rFonts w:cs="Arial"/>
          <w:shd w:val="clear" w:color="auto" w:fill="FFFFFF"/>
        </w:rPr>
        <w:t xml:space="preserve"> 17 Sustainable Development Goals and 169 targets </w:t>
      </w:r>
      <w:r>
        <w:rPr>
          <w:rFonts w:cs="Arial"/>
          <w:shd w:val="clear" w:color="auto" w:fill="FFFFFF"/>
        </w:rPr>
        <w:t>were based</w:t>
      </w:r>
      <w:r w:rsidRPr="00726AA9">
        <w:rPr>
          <w:rFonts w:cs="Arial"/>
          <w:shd w:val="clear" w:color="auto" w:fill="FFFFFF"/>
        </w:rPr>
        <w:t xml:space="preserve"> on the Millennium Development Goals and complete what these</w:t>
      </w:r>
      <w:r>
        <w:rPr>
          <w:rFonts w:cs="Arial"/>
          <w:shd w:val="clear" w:color="auto" w:fill="FFFFFF"/>
        </w:rPr>
        <w:t xml:space="preserve"> MDGs did not achieve such as </w:t>
      </w:r>
      <w:r w:rsidRPr="00726AA9">
        <w:rPr>
          <w:rFonts w:cs="Arial"/>
          <w:shd w:val="clear" w:color="auto" w:fill="FFFFFF"/>
        </w:rPr>
        <w:t>achieve gender equality and the empowerm</w:t>
      </w:r>
      <w:r>
        <w:rPr>
          <w:rFonts w:cs="Arial"/>
          <w:shd w:val="clear" w:color="auto" w:fill="FFFFFF"/>
        </w:rPr>
        <w:t>ent of all women and girls. These goals</w:t>
      </w:r>
      <w:r w:rsidRPr="00726AA9">
        <w:rPr>
          <w:rFonts w:cs="Arial"/>
          <w:shd w:val="clear" w:color="auto" w:fill="FFFFFF"/>
        </w:rPr>
        <w:t xml:space="preserve"> are integrated and indivisible and balance the three dimensions of sustainable development: the economic, social and environmental.</w:t>
      </w:r>
    </w:p>
    <w:p w:rsidR="00931C3B" w:rsidRPr="00726AA9" w:rsidRDefault="00931C3B" w:rsidP="00726AA9">
      <w:pPr>
        <w:spacing w:after="100" w:afterAutospacing="1" w:line="240" w:lineRule="auto"/>
        <w:rPr>
          <w:b/>
        </w:rPr>
      </w:pPr>
      <w:r w:rsidRPr="00726AA9">
        <w:rPr>
          <w:b/>
          <w:noProof/>
          <w:lang w:eastAsia="en-PH"/>
        </w:rPr>
        <w:drawing>
          <wp:anchor distT="0" distB="0" distL="114300" distR="114300" simplePos="0" relativeHeight="251675648" behindDoc="0" locked="0" layoutInCell="1" allowOverlap="1">
            <wp:simplePos x="0" y="0"/>
            <wp:positionH relativeFrom="column">
              <wp:posOffset>821690</wp:posOffset>
            </wp:positionH>
            <wp:positionV relativeFrom="paragraph">
              <wp:posOffset>86360</wp:posOffset>
            </wp:positionV>
            <wp:extent cx="5323205" cy="4265930"/>
            <wp:effectExtent l="19050" t="0" r="0" b="0"/>
            <wp:wrapThrough wrapText="bothSides">
              <wp:wrapPolygon edited="0">
                <wp:start x="-77" y="0"/>
                <wp:lineTo x="-77" y="21510"/>
                <wp:lineTo x="21567" y="21510"/>
                <wp:lineTo x="21567" y="0"/>
                <wp:lineTo x="-77" y="0"/>
              </wp:wrapPolygon>
            </wp:wrapThrough>
            <wp:docPr id="1" name="Picture 1" descr="http://www.wri.org/sites/default/files/uploads/SDGs-GlobalGoalsForSustainableDevelopment-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ri.org/sites/default/files/uploads/SDGs-GlobalGoalsForSustainableDevelopment-05.jpg"/>
                    <pic:cNvPicPr>
                      <a:picLocks noChangeAspect="1" noChangeArrowheads="1"/>
                    </pic:cNvPicPr>
                  </pic:nvPicPr>
                  <pic:blipFill>
                    <a:blip r:embed="rId23" cstate="print"/>
                    <a:srcRect/>
                    <a:stretch>
                      <a:fillRect/>
                    </a:stretch>
                  </pic:blipFill>
                  <pic:spPr bwMode="auto">
                    <a:xfrm>
                      <a:off x="0" y="0"/>
                      <a:ext cx="5323205" cy="4265930"/>
                    </a:xfrm>
                    <a:prstGeom prst="rect">
                      <a:avLst/>
                    </a:prstGeom>
                    <a:noFill/>
                    <a:ln w="9525">
                      <a:noFill/>
                      <a:miter lim="800000"/>
                      <a:headEnd/>
                      <a:tailEnd/>
                    </a:ln>
                  </pic:spPr>
                </pic:pic>
              </a:graphicData>
            </a:graphic>
          </wp:anchor>
        </w:drawing>
      </w:r>
    </w:p>
    <w:p w:rsidR="00931C3B" w:rsidRPr="00726AA9" w:rsidRDefault="00931C3B" w:rsidP="00726AA9">
      <w:pPr>
        <w:spacing w:after="100" w:afterAutospacing="1" w:line="240" w:lineRule="auto"/>
        <w:rPr>
          <w:b/>
        </w:rPr>
      </w:pPr>
    </w:p>
    <w:p w:rsidR="00931C3B" w:rsidRDefault="00931C3B" w:rsidP="00931C3B">
      <w:pPr>
        <w:spacing w:after="0"/>
        <w:rPr>
          <w:b/>
        </w:rPr>
      </w:pPr>
    </w:p>
    <w:p w:rsidR="00931C3B" w:rsidRDefault="00931C3B" w:rsidP="00931C3B">
      <w:pPr>
        <w:spacing w:after="0"/>
        <w:rPr>
          <w:b/>
        </w:rPr>
      </w:pPr>
    </w:p>
    <w:p w:rsidR="00931C3B" w:rsidRDefault="00931C3B" w:rsidP="00931C3B">
      <w:pPr>
        <w:spacing w:after="0"/>
        <w:rPr>
          <w:b/>
        </w:rPr>
      </w:pPr>
    </w:p>
    <w:p w:rsidR="00931C3B" w:rsidRDefault="00931C3B" w:rsidP="00931C3B">
      <w:pPr>
        <w:spacing w:after="0"/>
        <w:rPr>
          <w:b/>
        </w:rPr>
      </w:pPr>
    </w:p>
    <w:p w:rsidR="00931C3B" w:rsidRDefault="00931C3B" w:rsidP="00931C3B">
      <w:pPr>
        <w:spacing w:after="0"/>
        <w:rPr>
          <w:b/>
        </w:rPr>
      </w:pPr>
    </w:p>
    <w:p w:rsidR="00931C3B" w:rsidRDefault="00931C3B" w:rsidP="00931C3B">
      <w:pPr>
        <w:spacing w:after="0"/>
        <w:rPr>
          <w:b/>
        </w:rPr>
      </w:pPr>
    </w:p>
    <w:p w:rsidR="00931C3B" w:rsidRDefault="00931C3B" w:rsidP="00931C3B">
      <w:pPr>
        <w:spacing w:after="0"/>
        <w:rPr>
          <w:b/>
        </w:rPr>
      </w:pPr>
    </w:p>
    <w:p w:rsidR="00931C3B" w:rsidRDefault="00931C3B" w:rsidP="00931C3B">
      <w:pPr>
        <w:spacing w:after="0"/>
        <w:rPr>
          <w:b/>
        </w:rPr>
      </w:pPr>
    </w:p>
    <w:p w:rsidR="00931C3B" w:rsidRDefault="00931C3B" w:rsidP="00931C3B">
      <w:pPr>
        <w:spacing w:after="0"/>
        <w:rPr>
          <w:b/>
        </w:rPr>
      </w:pPr>
    </w:p>
    <w:p w:rsidR="00931C3B" w:rsidRDefault="00931C3B" w:rsidP="00931C3B">
      <w:pPr>
        <w:spacing w:after="0"/>
        <w:rPr>
          <w:b/>
        </w:rPr>
      </w:pPr>
    </w:p>
    <w:p w:rsidR="00931C3B" w:rsidRDefault="00931C3B" w:rsidP="00931C3B">
      <w:pPr>
        <w:spacing w:after="0"/>
        <w:rPr>
          <w:b/>
        </w:rPr>
      </w:pPr>
    </w:p>
    <w:p w:rsidR="00931C3B" w:rsidRDefault="00931C3B" w:rsidP="00931C3B">
      <w:pPr>
        <w:spacing w:after="0"/>
        <w:rPr>
          <w:b/>
        </w:rPr>
      </w:pPr>
    </w:p>
    <w:p w:rsidR="00931C3B" w:rsidRDefault="00931C3B" w:rsidP="00931C3B">
      <w:pPr>
        <w:spacing w:after="0"/>
        <w:rPr>
          <w:b/>
        </w:rPr>
      </w:pPr>
    </w:p>
    <w:p w:rsidR="00931C3B" w:rsidRDefault="00931C3B" w:rsidP="00931C3B">
      <w:pPr>
        <w:spacing w:after="0"/>
        <w:rPr>
          <w:b/>
        </w:rPr>
      </w:pPr>
    </w:p>
    <w:p w:rsidR="00931C3B" w:rsidRDefault="00931C3B" w:rsidP="00931C3B">
      <w:pPr>
        <w:spacing w:after="0"/>
        <w:rPr>
          <w:b/>
        </w:rPr>
      </w:pPr>
    </w:p>
    <w:p w:rsidR="00931C3B" w:rsidRDefault="00931C3B" w:rsidP="00931C3B">
      <w:pPr>
        <w:spacing w:after="0"/>
        <w:rPr>
          <w:b/>
        </w:rPr>
      </w:pPr>
    </w:p>
    <w:p w:rsidR="00931C3B" w:rsidRDefault="00931C3B" w:rsidP="00931C3B">
      <w:pPr>
        <w:spacing w:after="0"/>
        <w:rPr>
          <w:b/>
        </w:rPr>
      </w:pPr>
    </w:p>
    <w:p w:rsidR="00931C3B" w:rsidRDefault="00931C3B" w:rsidP="00931C3B">
      <w:pPr>
        <w:spacing w:after="0"/>
        <w:rPr>
          <w:b/>
        </w:rPr>
      </w:pPr>
    </w:p>
    <w:p w:rsidR="00931C3B" w:rsidRDefault="00931C3B" w:rsidP="00931C3B">
      <w:pPr>
        <w:spacing w:after="0"/>
        <w:rPr>
          <w:b/>
        </w:rPr>
      </w:pPr>
    </w:p>
    <w:p w:rsidR="00931C3B" w:rsidRDefault="00931C3B" w:rsidP="00931C3B">
      <w:pPr>
        <w:spacing w:after="0"/>
        <w:rPr>
          <w:b/>
        </w:rPr>
      </w:pPr>
    </w:p>
    <w:p w:rsidR="00726AA9" w:rsidRDefault="00963AA3" w:rsidP="00931C3B">
      <w:pPr>
        <w:spacing w:after="0"/>
        <w:rPr>
          <w:b/>
        </w:rPr>
      </w:pPr>
      <w:r>
        <w:rPr>
          <w:b/>
        </w:rPr>
        <w:t>UNITED NATION’S AGENDA 21</w:t>
      </w:r>
    </w:p>
    <w:p w:rsidR="00931C3B" w:rsidRDefault="00963AA3" w:rsidP="00931C3B">
      <w:pPr>
        <w:spacing w:after="0"/>
        <w:rPr>
          <w:b/>
        </w:rPr>
      </w:pPr>
      <w:hyperlink r:id="rId24" w:history="1">
        <w:r w:rsidRPr="00CE6FD1">
          <w:rPr>
            <w:rStyle w:val="Hyperlink"/>
            <w:b/>
          </w:rPr>
          <w:t>https://sustainabledevelopment.un.org/outcomedocuments/agenda21</w:t>
        </w:r>
      </w:hyperlink>
    </w:p>
    <w:p w:rsidR="00931C3B" w:rsidRPr="00963AA3" w:rsidRDefault="00963AA3" w:rsidP="00963AA3">
      <w:pPr>
        <w:tabs>
          <w:tab w:val="left" w:pos="1327"/>
        </w:tabs>
        <w:spacing w:after="0"/>
        <w:jc w:val="both"/>
        <w:rPr>
          <w:b/>
        </w:rPr>
      </w:pPr>
      <w:r w:rsidRPr="00963AA3">
        <w:rPr>
          <w:rFonts w:cs="Arial"/>
          <w:shd w:val="clear" w:color="auto" w:fill="FFFFFF"/>
        </w:rPr>
        <w:t>Agenda 21 is a comprehensive plan of action to be taken globally, nationally and locally by organizations</w:t>
      </w:r>
      <w:r>
        <w:rPr>
          <w:rFonts w:cs="Arial"/>
          <w:shd w:val="clear" w:color="auto" w:fill="FFFFFF"/>
        </w:rPr>
        <w:t xml:space="preserve"> of the United Nations System, governments, and m</w:t>
      </w:r>
      <w:r w:rsidRPr="00963AA3">
        <w:rPr>
          <w:rFonts w:cs="Arial"/>
          <w:shd w:val="clear" w:color="auto" w:fill="FFFFFF"/>
        </w:rPr>
        <w:t>ajor Groups in every area in which human impacts on the environment.</w:t>
      </w:r>
      <w:r w:rsidRPr="00963AA3">
        <w:rPr>
          <w:rStyle w:val="apple-converted-space"/>
          <w:rFonts w:cs="Arial"/>
          <w:shd w:val="clear" w:color="auto" w:fill="FFFFFF"/>
        </w:rPr>
        <w:t> </w:t>
      </w:r>
      <w:r w:rsidRPr="00963AA3">
        <w:rPr>
          <w:rFonts w:cs="Arial"/>
        </w:rPr>
        <w:br/>
      </w:r>
      <w:r w:rsidRPr="00963AA3">
        <w:rPr>
          <w:rFonts w:cs="Arial"/>
          <w:shd w:val="clear" w:color="auto" w:fill="FFFFFF"/>
        </w:rPr>
        <w:t>Agenda 21, the Rio Declaration on Environment and Development, and the Statement of principles for the Sustainable Management of Forests were adopted by more than 178 Governments at the United Nations Conference on Environment and Development (UNCED) held in Rio de Janerio, Brazil, 3 to 14 June 1992.</w:t>
      </w:r>
      <w:r w:rsidRPr="00963AA3">
        <w:rPr>
          <w:rStyle w:val="apple-converted-space"/>
          <w:rFonts w:cs="Arial"/>
          <w:shd w:val="clear" w:color="auto" w:fill="FFFFFF"/>
        </w:rPr>
        <w:t> </w:t>
      </w:r>
      <w:r w:rsidRPr="00963AA3">
        <w:rPr>
          <w:rFonts w:cs="Arial"/>
          <w:shd w:val="clear" w:color="auto" w:fill="FFFFFF"/>
        </w:rPr>
        <w:t xml:space="preserve">The Commission on </w:t>
      </w:r>
      <w:r w:rsidRPr="00963AA3">
        <w:rPr>
          <w:rFonts w:cs="Arial"/>
          <w:shd w:val="clear" w:color="auto" w:fill="FFFFFF"/>
        </w:rPr>
        <w:lastRenderedPageBreak/>
        <w:t>Sustainable Development (CSD) was created in December 1992 to ensure effective follow-up of UNCED, to monitor and report on implementation of the agreements at the local, national, regional and international levels. It was agreed that a five year review of Earth Summit progress would be made in 1997 by the United Nations General Assembly meeting in special session.</w:t>
      </w:r>
      <w:r w:rsidRPr="00963AA3">
        <w:rPr>
          <w:rStyle w:val="apple-converted-space"/>
          <w:rFonts w:cs="Arial"/>
          <w:shd w:val="clear" w:color="auto" w:fill="FFFFFF"/>
        </w:rPr>
        <w:t> </w:t>
      </w:r>
      <w:r w:rsidRPr="00963AA3">
        <w:rPr>
          <w:rFonts w:cs="Arial"/>
          <w:shd w:val="clear" w:color="auto" w:fill="FFFFFF"/>
        </w:rPr>
        <w:t>The full implementation of Agenda 21, the Programme for Further Implementation of Agenda 21 and the Commitments to the Rio principles, were strongly reaffirmed at the World Summit on Sustainable Development (WSSD) held in Johannesburg, South Africa from 26 August to 4 September 2002</w:t>
      </w:r>
      <w:r>
        <w:rPr>
          <w:rFonts w:cs="Arial"/>
          <w:shd w:val="clear" w:color="auto" w:fill="FFFFFF"/>
        </w:rPr>
        <w:t xml:space="preserve"> (source: UN)</w:t>
      </w:r>
    </w:p>
    <w:p w:rsidR="00726AA9" w:rsidRPr="00963AA3" w:rsidRDefault="00726AA9" w:rsidP="00931C3B">
      <w:pPr>
        <w:spacing w:after="0"/>
        <w:rPr>
          <w:b/>
        </w:rPr>
      </w:pPr>
    </w:p>
    <w:p w:rsidR="00963AA3" w:rsidRDefault="00931C3B" w:rsidP="00931C3B">
      <w:pPr>
        <w:spacing w:after="0"/>
        <w:rPr>
          <w:b/>
        </w:rPr>
      </w:pPr>
      <w:r>
        <w:rPr>
          <w:b/>
        </w:rPr>
        <w:t xml:space="preserve">PHILIPPINE AGENDA 21/National Education Action Plan (NEAAP – 2005-2014) </w:t>
      </w:r>
    </w:p>
    <w:p w:rsidR="00931C3B" w:rsidRDefault="00931C3B" w:rsidP="00963AA3">
      <w:pPr>
        <w:spacing w:after="0"/>
        <w:jc w:val="both"/>
      </w:pPr>
      <w:r w:rsidRPr="006E58F4">
        <w:t>Key elements of sustainable development for 2005-2014 must support: poverty</w:t>
      </w:r>
      <w:r>
        <w:t xml:space="preserve"> reduction, social equity, empowerment and good governance, peace and solidarity, and ecological integrity. In terms of Education for Sustainability aims to pursue education to foster the transition to a sustainable society. As a process, education for sustainable development is used to: create awareness of sustainable development issues, enhance knowledge and understanding skills, influence values and attitudes, encourage more responsible behaviour, and promote learning that leads to action.</w:t>
      </w:r>
    </w:p>
    <w:p w:rsidR="00931C3B" w:rsidRDefault="00931C3B" w:rsidP="00931C3B">
      <w:pPr>
        <w:spacing w:after="0"/>
      </w:pPr>
    </w:p>
    <w:p w:rsidR="00931C3B" w:rsidRPr="00556C4C" w:rsidRDefault="00931C3B" w:rsidP="00931C3B">
      <w:pPr>
        <w:pStyle w:val="Heading3"/>
        <w:shd w:val="clear" w:color="auto" w:fill="FFFFFF"/>
        <w:spacing w:before="0"/>
        <w:textAlignment w:val="baseline"/>
        <w:rPr>
          <w:rFonts w:asciiTheme="minorHAnsi" w:hAnsiTheme="minorHAnsi" w:cs="Arial"/>
          <w:color w:val="auto"/>
        </w:rPr>
      </w:pPr>
      <w:r w:rsidRPr="00556C4C">
        <w:rPr>
          <w:rFonts w:asciiTheme="minorHAnsi" w:hAnsiTheme="minorHAnsi"/>
          <w:color w:val="auto"/>
        </w:rPr>
        <w:t xml:space="preserve">EPA 21: </w:t>
      </w:r>
      <w:hyperlink r:id="rId25" w:history="1">
        <w:r w:rsidRPr="00556C4C">
          <w:rPr>
            <w:rStyle w:val="Hyperlink"/>
            <w:rFonts w:asciiTheme="minorHAnsi" w:hAnsiTheme="minorHAnsi" w:cs="Arial"/>
            <w:color w:val="auto"/>
            <w:bdr w:val="none" w:sz="0" w:space="0" w:color="auto" w:frame="1"/>
          </w:rPr>
          <w:t>Sustainable Development in the Philippine Context</w:t>
        </w:r>
      </w:hyperlink>
    </w:p>
    <w:p w:rsidR="00931C3B" w:rsidRPr="0084282B" w:rsidRDefault="00E9592E" w:rsidP="00931C3B">
      <w:pPr>
        <w:spacing w:after="0"/>
        <w:jc w:val="both"/>
        <w:rPr>
          <w:b/>
        </w:rPr>
      </w:pPr>
      <w:hyperlink r:id="rId26" w:history="1">
        <w:r w:rsidRPr="00CE6FD1">
          <w:rPr>
            <w:rStyle w:val="Hyperlink"/>
            <w:b/>
          </w:rPr>
          <w:t>http://pcsd.neda.gov.ph/publications/epa-21/#</w:t>
        </w:r>
      </w:hyperlink>
      <w:r>
        <w:rPr>
          <w:b/>
        </w:rPr>
        <w:t xml:space="preserve"> </w:t>
      </w:r>
    </w:p>
    <w:p w:rsidR="00931C3B" w:rsidRPr="0084282B" w:rsidRDefault="00931C3B" w:rsidP="00931C3B">
      <w:pPr>
        <w:pStyle w:val="NormalWeb"/>
        <w:shd w:val="clear" w:color="auto" w:fill="FFFFFF"/>
        <w:spacing w:before="0" w:beforeAutospacing="0" w:after="360" w:afterAutospacing="0" w:line="204" w:lineRule="atLeast"/>
        <w:jc w:val="both"/>
        <w:textAlignment w:val="baseline"/>
        <w:rPr>
          <w:rFonts w:asciiTheme="minorHAnsi" w:hAnsiTheme="minorHAnsi" w:cs="Arial"/>
          <w:color w:val="050505"/>
          <w:sz w:val="22"/>
          <w:szCs w:val="22"/>
        </w:rPr>
      </w:pPr>
      <w:r w:rsidRPr="0084282B">
        <w:rPr>
          <w:rFonts w:asciiTheme="minorHAnsi" w:hAnsiTheme="minorHAnsi" w:cs="Arial"/>
          <w:color w:val="050505"/>
          <w:sz w:val="22"/>
          <w:szCs w:val="22"/>
        </w:rPr>
        <w:t>The Philippines was one of the first countries that swiftly responded to the calls made at the Earth Summit. Three months after the Summit, the government established the Philippine Council for Sustainable Development (PCSD) to oversee the implementation of the country’s Agenda 21 commitments and formulate policies and programs that are supportive of sustainable development. In fulfilment of its mandate, the PCSD coordinated the formulation, through a consensus building process, of a national agenda and blueprint for sustainable development now known as Philippine Agenda 21 (PA 21).</w:t>
      </w:r>
    </w:p>
    <w:p w:rsidR="00931C3B" w:rsidRPr="00556C4C" w:rsidRDefault="00E9592E" w:rsidP="00931C3B">
      <w:pPr>
        <w:spacing w:after="0" w:line="240" w:lineRule="auto"/>
        <w:rPr>
          <w:b/>
        </w:rPr>
      </w:pPr>
      <w:hyperlink r:id="rId27" w:history="1">
        <w:r w:rsidRPr="00CE6FD1">
          <w:rPr>
            <w:rStyle w:val="Hyperlink"/>
            <w:b/>
          </w:rPr>
          <w:t>http://www.neda.gov.ph/2013/10/21/philippine-development-plan-2011-2016/</w:t>
        </w:r>
      </w:hyperlink>
      <w:r>
        <w:rPr>
          <w:b/>
        </w:rPr>
        <w:t xml:space="preserve"> </w:t>
      </w:r>
    </w:p>
    <w:p w:rsidR="00931C3B" w:rsidRPr="00556C4C" w:rsidRDefault="00E9592E" w:rsidP="00931C3B">
      <w:pPr>
        <w:pStyle w:val="Heading2"/>
        <w:shd w:val="clear" w:color="auto" w:fill="FFFFFF"/>
        <w:spacing w:before="0" w:line="240" w:lineRule="auto"/>
        <w:textAlignment w:val="baseline"/>
        <w:rPr>
          <w:rFonts w:asciiTheme="minorHAnsi" w:hAnsiTheme="minorHAnsi" w:cs="Tahoma"/>
          <w:bCs w:val="0"/>
          <w:color w:val="auto"/>
          <w:sz w:val="22"/>
          <w:szCs w:val="22"/>
        </w:rPr>
      </w:pPr>
      <w:hyperlink r:id="rId28" w:history="1">
        <w:r w:rsidRPr="00CE6FD1">
          <w:rPr>
            <w:rStyle w:val="Hyperlink"/>
            <w:rFonts w:asciiTheme="minorHAnsi" w:hAnsiTheme="minorHAnsi" w:cs="Tahoma"/>
            <w:bCs w:val="0"/>
            <w:sz w:val="22"/>
            <w:szCs w:val="22"/>
          </w:rPr>
          <w:t>http://www.neda.gov.ph/wp-content/uploads/2013/09/CHAPTER-10.pdf</w:t>
        </w:r>
      </w:hyperlink>
      <w:r>
        <w:rPr>
          <w:rFonts w:asciiTheme="minorHAnsi" w:hAnsiTheme="minorHAnsi" w:cs="Tahoma"/>
          <w:bCs w:val="0"/>
          <w:color w:val="auto"/>
          <w:sz w:val="22"/>
          <w:szCs w:val="22"/>
        </w:rPr>
        <w:t xml:space="preserve"> </w:t>
      </w:r>
    </w:p>
    <w:p w:rsidR="00931C3B" w:rsidRPr="00380359" w:rsidRDefault="00931C3B" w:rsidP="00931C3B">
      <w:pPr>
        <w:pStyle w:val="NormalWeb"/>
        <w:shd w:val="clear" w:color="auto" w:fill="FFFFFF"/>
        <w:spacing w:before="0" w:beforeAutospacing="0" w:after="0" w:afterAutospacing="0"/>
        <w:jc w:val="both"/>
        <w:rPr>
          <w:rFonts w:asciiTheme="minorHAnsi" w:hAnsiTheme="minorHAnsi"/>
          <w:sz w:val="22"/>
          <w:szCs w:val="22"/>
        </w:rPr>
      </w:pPr>
      <w:r w:rsidRPr="00380359">
        <w:rPr>
          <w:rFonts w:asciiTheme="minorHAnsi" w:hAnsiTheme="minorHAnsi"/>
          <w:sz w:val="22"/>
          <w:szCs w:val="22"/>
        </w:rPr>
        <w:t>The Philippine Development Plan 2011-2016 adopts a framework of inclusive growth, which is high growth that is sustained, generates mass employment, and reduces poverty. With good governance and anticorruption as the overarching theme of each and every intervention, the Plan translates into specific goals, objectives, strategies, programs and projects all the things that we want to accomplish in the medium term.</w:t>
      </w:r>
    </w:p>
    <w:p w:rsidR="00931C3B" w:rsidRPr="00380359" w:rsidRDefault="00931C3B" w:rsidP="00931C3B">
      <w:pPr>
        <w:pStyle w:val="NormalWeb"/>
        <w:shd w:val="clear" w:color="auto" w:fill="FFFFFF"/>
        <w:spacing w:after="0" w:afterAutospacing="0"/>
        <w:jc w:val="both"/>
        <w:rPr>
          <w:rFonts w:asciiTheme="minorHAnsi" w:hAnsiTheme="minorHAnsi"/>
          <w:sz w:val="22"/>
          <w:szCs w:val="22"/>
        </w:rPr>
      </w:pPr>
      <w:r w:rsidRPr="00380359">
        <w:rPr>
          <w:rFonts w:asciiTheme="minorHAnsi" w:hAnsiTheme="minorHAnsi"/>
          <w:sz w:val="22"/>
          <w:szCs w:val="22"/>
        </w:rPr>
        <w:t>Through this Plan, we intend to pursue rapid and sustainable</w:t>
      </w:r>
      <w:r w:rsidRPr="00380359">
        <w:rPr>
          <w:rStyle w:val="apple-converted-space"/>
          <w:rFonts w:asciiTheme="minorHAnsi" w:eastAsiaTheme="majorEastAsia" w:hAnsiTheme="minorHAnsi"/>
          <w:sz w:val="22"/>
          <w:szCs w:val="22"/>
        </w:rPr>
        <w:t> </w:t>
      </w:r>
      <w:hyperlink r:id="rId29" w:history="1">
        <w:r w:rsidRPr="00380359">
          <w:rPr>
            <w:rStyle w:val="Hyperlink"/>
            <w:rFonts w:asciiTheme="minorHAnsi" w:eastAsiaTheme="majorEastAsia" w:hAnsiTheme="minorHAnsi"/>
            <w:color w:val="auto"/>
            <w:sz w:val="22"/>
            <w:szCs w:val="22"/>
          </w:rPr>
          <w:t>economic growth</w:t>
        </w:r>
      </w:hyperlink>
      <w:r w:rsidRPr="00380359">
        <w:rPr>
          <w:rStyle w:val="apple-converted-space"/>
          <w:rFonts w:asciiTheme="minorHAnsi" w:eastAsiaTheme="majorEastAsia" w:hAnsiTheme="minorHAnsi"/>
          <w:sz w:val="22"/>
          <w:szCs w:val="22"/>
        </w:rPr>
        <w:t> </w:t>
      </w:r>
      <w:r w:rsidRPr="00380359">
        <w:rPr>
          <w:rFonts w:asciiTheme="minorHAnsi" w:hAnsiTheme="minorHAnsi"/>
          <w:sz w:val="22"/>
          <w:szCs w:val="22"/>
        </w:rPr>
        <w:t>and development, improve the quality of life of the Filipino, empower the poor and marginalized and enhance our social cohesion as a nation. Our strategic development policy framework thus focuses on improving transparency and accountability in governance, strengthening the macroeconomy, boosting the competitiveness of our industries, facilitating infrastructure development, strengthening the financial sector and capital mobilization, improving access to quality social services, enhancing peace and security for development, and ensuring ecological integrity.</w:t>
      </w:r>
    </w:p>
    <w:p w:rsidR="00931C3B" w:rsidRPr="00380359" w:rsidRDefault="00931C3B" w:rsidP="00931C3B">
      <w:pPr>
        <w:pStyle w:val="NormalWeb"/>
        <w:shd w:val="clear" w:color="auto" w:fill="FFFFFF"/>
        <w:spacing w:after="0" w:afterAutospacing="0"/>
        <w:jc w:val="both"/>
        <w:rPr>
          <w:rFonts w:asciiTheme="minorHAnsi" w:hAnsiTheme="minorHAnsi"/>
          <w:sz w:val="22"/>
          <w:szCs w:val="22"/>
        </w:rPr>
      </w:pPr>
      <w:r w:rsidRPr="00380359">
        <w:rPr>
          <w:rFonts w:asciiTheme="minorHAnsi" w:hAnsiTheme="minorHAnsi"/>
          <w:sz w:val="22"/>
          <w:szCs w:val="22"/>
        </w:rPr>
        <w:t>The Philippine Development Plan will serve as our guide in formulating policies and implementing development programs for the next six years. It enables us to work systematically to give the Filipino people a better chance of finally finding their way out of poverty, inequality, and the poor state of human development.</w:t>
      </w:r>
    </w:p>
    <w:p w:rsidR="00931C3B" w:rsidRPr="00380359" w:rsidRDefault="00931C3B" w:rsidP="00931C3B">
      <w:pPr>
        <w:spacing w:after="0"/>
      </w:pPr>
    </w:p>
    <w:p w:rsidR="00726AA9" w:rsidRDefault="00726AA9" w:rsidP="00726AA9">
      <w:pPr>
        <w:shd w:val="clear" w:color="auto" w:fill="FFFFFF"/>
        <w:spacing w:after="0" w:line="240" w:lineRule="auto"/>
        <w:rPr>
          <w:rFonts w:eastAsia="Times New Roman" w:cs="Arial"/>
          <w:b/>
          <w:color w:val="333333"/>
          <w:lang w:eastAsia="en-PH"/>
        </w:rPr>
      </w:pPr>
      <w:r w:rsidRPr="001757FA">
        <w:rPr>
          <w:rFonts w:eastAsia="Times New Roman" w:cs="Arial"/>
          <w:b/>
          <w:color w:val="333333"/>
          <w:lang w:eastAsia="en-PH"/>
        </w:rPr>
        <w:t>Th</w:t>
      </w:r>
      <w:r>
        <w:rPr>
          <w:rFonts w:eastAsia="Times New Roman" w:cs="Arial"/>
          <w:b/>
          <w:color w:val="333333"/>
          <w:lang w:eastAsia="en-PH"/>
        </w:rPr>
        <w:t>e SAN DESTIN DECLARATION</w:t>
      </w:r>
      <w:r w:rsidRPr="001757FA">
        <w:rPr>
          <w:rFonts w:eastAsia="Times New Roman" w:cs="Arial"/>
          <w:b/>
          <w:color w:val="333333"/>
          <w:lang w:eastAsia="en-PH"/>
        </w:rPr>
        <w:t xml:space="preserve">:  9 Principles of </w:t>
      </w:r>
      <w:r>
        <w:rPr>
          <w:rFonts w:eastAsia="Times New Roman" w:cs="Arial"/>
          <w:b/>
          <w:color w:val="333333"/>
          <w:lang w:eastAsia="en-PH"/>
        </w:rPr>
        <w:t xml:space="preserve">SUSTAINABLE </w:t>
      </w:r>
      <w:r w:rsidRPr="001757FA">
        <w:rPr>
          <w:rFonts w:eastAsia="Times New Roman" w:cs="Arial"/>
          <w:b/>
          <w:color w:val="333333"/>
          <w:lang w:eastAsia="en-PH"/>
        </w:rPr>
        <w:t>Green Engineering</w:t>
      </w:r>
    </w:p>
    <w:p w:rsidR="00726AA9" w:rsidRPr="001757FA" w:rsidRDefault="00726AA9" w:rsidP="00726AA9">
      <w:pPr>
        <w:pStyle w:val="ListParagraph"/>
        <w:numPr>
          <w:ilvl w:val="0"/>
          <w:numId w:val="19"/>
        </w:numPr>
        <w:shd w:val="clear" w:color="auto" w:fill="FFFFFF"/>
        <w:spacing w:after="0" w:line="240" w:lineRule="auto"/>
        <w:rPr>
          <w:rFonts w:eastAsia="Times New Roman" w:cs="Arial"/>
          <w:b/>
          <w:color w:val="333333"/>
          <w:lang w:eastAsia="en-PH"/>
        </w:rPr>
      </w:pPr>
      <w:r w:rsidRPr="001757FA">
        <w:rPr>
          <w:rFonts w:eastAsia="Times New Roman" w:cs="Arial"/>
          <w:color w:val="333333"/>
          <w:lang w:eastAsia="en-PH"/>
        </w:rPr>
        <w:t>Engineer processes and products holistically, use systems analysis, and integrate environmental impact assessment tools.</w:t>
      </w:r>
    </w:p>
    <w:p w:rsidR="00726AA9" w:rsidRPr="001757FA" w:rsidRDefault="00726AA9" w:rsidP="00726AA9">
      <w:pPr>
        <w:pStyle w:val="ListParagraph"/>
        <w:numPr>
          <w:ilvl w:val="0"/>
          <w:numId w:val="19"/>
        </w:numPr>
        <w:shd w:val="clear" w:color="auto" w:fill="FFFFFF"/>
        <w:spacing w:after="0" w:line="240" w:lineRule="auto"/>
        <w:rPr>
          <w:rFonts w:eastAsia="Times New Roman" w:cs="Arial"/>
          <w:b/>
          <w:color w:val="333333"/>
          <w:lang w:eastAsia="en-PH"/>
        </w:rPr>
      </w:pPr>
      <w:r w:rsidRPr="001757FA">
        <w:rPr>
          <w:rFonts w:eastAsia="Times New Roman" w:cs="Arial"/>
          <w:color w:val="333333"/>
          <w:lang w:eastAsia="en-PH"/>
        </w:rPr>
        <w:t>Conserve and improve natural ecosystems while protecting human health and well-being.</w:t>
      </w:r>
    </w:p>
    <w:p w:rsidR="00726AA9" w:rsidRPr="001757FA" w:rsidRDefault="00726AA9" w:rsidP="00726AA9">
      <w:pPr>
        <w:pStyle w:val="ListParagraph"/>
        <w:numPr>
          <w:ilvl w:val="0"/>
          <w:numId w:val="19"/>
        </w:numPr>
        <w:shd w:val="clear" w:color="auto" w:fill="FFFFFF"/>
        <w:spacing w:after="0" w:line="240" w:lineRule="auto"/>
        <w:rPr>
          <w:rFonts w:eastAsia="Times New Roman" w:cs="Arial"/>
          <w:b/>
          <w:color w:val="333333"/>
          <w:lang w:eastAsia="en-PH"/>
        </w:rPr>
      </w:pPr>
      <w:r w:rsidRPr="001757FA">
        <w:rPr>
          <w:rFonts w:eastAsia="Times New Roman" w:cs="Arial"/>
          <w:color w:val="333333"/>
          <w:lang w:eastAsia="en-PH"/>
        </w:rPr>
        <w:t>Use life-cycle thinking in all engineering activities.</w:t>
      </w:r>
    </w:p>
    <w:p w:rsidR="00726AA9" w:rsidRPr="001757FA" w:rsidRDefault="00726AA9" w:rsidP="00726AA9">
      <w:pPr>
        <w:pStyle w:val="ListParagraph"/>
        <w:numPr>
          <w:ilvl w:val="0"/>
          <w:numId w:val="19"/>
        </w:numPr>
        <w:shd w:val="clear" w:color="auto" w:fill="FFFFFF"/>
        <w:spacing w:after="0" w:line="240" w:lineRule="auto"/>
        <w:rPr>
          <w:rFonts w:eastAsia="Times New Roman" w:cs="Arial"/>
          <w:b/>
          <w:color w:val="333333"/>
          <w:lang w:eastAsia="en-PH"/>
        </w:rPr>
      </w:pPr>
      <w:r w:rsidRPr="001757FA">
        <w:rPr>
          <w:rFonts w:eastAsia="Times New Roman" w:cs="Arial"/>
          <w:color w:val="333333"/>
          <w:lang w:eastAsia="en-PH"/>
        </w:rPr>
        <w:t>Ensure that all material and energy inputs and outputs are as inherently safe and benign as possible.</w:t>
      </w:r>
    </w:p>
    <w:p w:rsidR="00726AA9" w:rsidRPr="001757FA" w:rsidRDefault="00726AA9" w:rsidP="00726AA9">
      <w:pPr>
        <w:pStyle w:val="ListParagraph"/>
        <w:numPr>
          <w:ilvl w:val="0"/>
          <w:numId w:val="19"/>
        </w:numPr>
        <w:shd w:val="clear" w:color="auto" w:fill="FFFFFF"/>
        <w:spacing w:after="0" w:line="240" w:lineRule="auto"/>
        <w:rPr>
          <w:rFonts w:eastAsia="Times New Roman" w:cs="Arial"/>
          <w:b/>
          <w:color w:val="333333"/>
          <w:lang w:eastAsia="en-PH"/>
        </w:rPr>
      </w:pPr>
      <w:r w:rsidRPr="001757FA">
        <w:rPr>
          <w:rFonts w:eastAsia="Times New Roman" w:cs="Arial"/>
          <w:color w:val="333333"/>
          <w:lang w:eastAsia="en-PH"/>
        </w:rPr>
        <w:t>Minimize depletion of natural resources.</w:t>
      </w:r>
    </w:p>
    <w:p w:rsidR="00726AA9" w:rsidRPr="001757FA" w:rsidRDefault="00726AA9" w:rsidP="00726AA9">
      <w:pPr>
        <w:pStyle w:val="ListParagraph"/>
        <w:numPr>
          <w:ilvl w:val="0"/>
          <w:numId w:val="19"/>
        </w:numPr>
        <w:shd w:val="clear" w:color="auto" w:fill="FFFFFF"/>
        <w:spacing w:after="0" w:line="240" w:lineRule="auto"/>
        <w:rPr>
          <w:rFonts w:eastAsia="Times New Roman" w:cs="Arial"/>
          <w:b/>
          <w:color w:val="333333"/>
          <w:lang w:eastAsia="en-PH"/>
        </w:rPr>
      </w:pPr>
      <w:r w:rsidRPr="001757FA">
        <w:rPr>
          <w:rFonts w:eastAsia="Times New Roman" w:cs="Arial"/>
          <w:color w:val="333333"/>
          <w:lang w:eastAsia="en-PH"/>
        </w:rPr>
        <w:lastRenderedPageBreak/>
        <w:t>Strive to prevent waste.</w:t>
      </w:r>
    </w:p>
    <w:p w:rsidR="00726AA9" w:rsidRPr="001757FA" w:rsidRDefault="00726AA9" w:rsidP="00726AA9">
      <w:pPr>
        <w:pStyle w:val="ListParagraph"/>
        <w:numPr>
          <w:ilvl w:val="0"/>
          <w:numId w:val="19"/>
        </w:numPr>
        <w:shd w:val="clear" w:color="auto" w:fill="FFFFFF"/>
        <w:spacing w:after="0" w:line="240" w:lineRule="auto"/>
        <w:rPr>
          <w:rFonts w:eastAsia="Times New Roman" w:cs="Arial"/>
          <w:b/>
          <w:color w:val="333333"/>
          <w:lang w:eastAsia="en-PH"/>
        </w:rPr>
      </w:pPr>
      <w:r w:rsidRPr="001757FA">
        <w:rPr>
          <w:rFonts w:eastAsia="Times New Roman" w:cs="Arial"/>
          <w:color w:val="333333"/>
          <w:lang w:eastAsia="en-PH"/>
        </w:rPr>
        <w:t>Develop and apply engineering solutions, while being cognizant of local geography, aspirations, and cultures.</w:t>
      </w:r>
    </w:p>
    <w:p w:rsidR="00726AA9" w:rsidRPr="001757FA" w:rsidRDefault="00726AA9" w:rsidP="00726AA9">
      <w:pPr>
        <w:pStyle w:val="ListParagraph"/>
        <w:numPr>
          <w:ilvl w:val="0"/>
          <w:numId w:val="19"/>
        </w:numPr>
        <w:shd w:val="clear" w:color="auto" w:fill="FFFFFF"/>
        <w:spacing w:after="0" w:line="240" w:lineRule="auto"/>
        <w:rPr>
          <w:rFonts w:eastAsia="Times New Roman" w:cs="Arial"/>
          <w:b/>
          <w:color w:val="333333"/>
          <w:lang w:eastAsia="en-PH"/>
        </w:rPr>
      </w:pPr>
      <w:r w:rsidRPr="001757FA">
        <w:rPr>
          <w:rFonts w:eastAsia="Times New Roman" w:cs="Arial"/>
          <w:color w:val="333333"/>
          <w:lang w:eastAsia="en-PH"/>
        </w:rPr>
        <w:t>Create engineering solutions beyond current or dominant technologies; improve, innovate, and invent (technologies) to achieve sustainability.</w:t>
      </w:r>
    </w:p>
    <w:p w:rsidR="00726AA9" w:rsidRPr="001757FA" w:rsidRDefault="00726AA9" w:rsidP="00726AA9">
      <w:pPr>
        <w:pStyle w:val="ListParagraph"/>
        <w:numPr>
          <w:ilvl w:val="0"/>
          <w:numId w:val="19"/>
        </w:numPr>
        <w:shd w:val="clear" w:color="auto" w:fill="FFFFFF"/>
        <w:spacing w:after="0" w:line="240" w:lineRule="auto"/>
        <w:rPr>
          <w:rFonts w:eastAsia="Times New Roman" w:cs="Arial"/>
          <w:b/>
          <w:color w:val="333333"/>
          <w:lang w:eastAsia="en-PH"/>
        </w:rPr>
      </w:pPr>
      <w:r w:rsidRPr="001757FA">
        <w:rPr>
          <w:rFonts w:eastAsia="Times New Roman" w:cs="Arial"/>
          <w:color w:val="333333"/>
          <w:lang w:eastAsia="en-PH"/>
        </w:rPr>
        <w:t>Actively engage communities and stakeholders in development of engineering solutions</w:t>
      </w:r>
      <w:r>
        <w:rPr>
          <w:rFonts w:eastAsia="Times New Roman" w:cs="Arial"/>
          <w:color w:val="333333"/>
          <w:lang w:eastAsia="en-PH"/>
        </w:rPr>
        <w:t>.</w:t>
      </w:r>
    </w:p>
    <w:p w:rsidR="00931C3B" w:rsidRPr="00380359" w:rsidRDefault="00931C3B" w:rsidP="00931C3B">
      <w:pPr>
        <w:spacing w:after="0"/>
      </w:pPr>
    </w:p>
    <w:p w:rsidR="00931C3B" w:rsidRPr="00AB6ADD" w:rsidRDefault="00931C3B" w:rsidP="00931C3B">
      <w:pPr>
        <w:spacing w:after="0"/>
        <w:rPr>
          <w:b/>
        </w:rPr>
      </w:pPr>
      <w:r w:rsidRPr="00AB6ADD">
        <w:rPr>
          <w:b/>
        </w:rPr>
        <w:t>SUGGESTED READING MATERIALS</w:t>
      </w:r>
    </w:p>
    <w:p w:rsidR="00931C3B" w:rsidRPr="004235D8" w:rsidRDefault="00931C3B" w:rsidP="00931C3B">
      <w:pPr>
        <w:pStyle w:val="ListParagraph"/>
        <w:numPr>
          <w:ilvl w:val="0"/>
          <w:numId w:val="11"/>
        </w:numPr>
        <w:rPr>
          <w:b/>
        </w:rPr>
      </w:pPr>
      <w:r w:rsidRPr="004235D8">
        <w:rPr>
          <w:b/>
        </w:rPr>
        <w:t xml:space="preserve">Davis, M. L. And Masten, S.J. (2004). </w:t>
      </w:r>
      <w:r w:rsidRPr="004235D8">
        <w:rPr>
          <w:b/>
          <w:i/>
        </w:rPr>
        <w:t>Principles of Environmental Engineering and Science</w:t>
      </w:r>
      <w:r w:rsidRPr="004235D8">
        <w:rPr>
          <w:b/>
        </w:rPr>
        <w:t>, International Edition, McGraw-Hill Education (Asia), New York, ISBN 007-123728-3</w:t>
      </w:r>
    </w:p>
    <w:p w:rsidR="00931C3B" w:rsidRDefault="00931C3B" w:rsidP="00931C3B">
      <w:pPr>
        <w:pStyle w:val="ListParagraph"/>
        <w:numPr>
          <w:ilvl w:val="0"/>
          <w:numId w:val="11"/>
        </w:numPr>
      </w:pPr>
      <w:r w:rsidRPr="00AB6ADD">
        <w:t xml:space="preserve">Enger, E D., and Smith, B F. (2009). </w:t>
      </w:r>
      <w:r w:rsidRPr="00BF70F1">
        <w:rPr>
          <w:i/>
        </w:rPr>
        <w:t>Environmental Science, A Study of Interrelationships</w:t>
      </w:r>
      <w:r w:rsidRPr="00AB6ADD">
        <w:t>, 11</w:t>
      </w:r>
      <w:r w:rsidRPr="00AB6ADD">
        <w:rPr>
          <w:vertAlign w:val="superscript"/>
        </w:rPr>
        <w:t>th</w:t>
      </w:r>
      <w:r w:rsidRPr="00AB6ADD">
        <w:t xml:space="preserve"> Edition, McGraw Hi</w:t>
      </w:r>
      <w:r>
        <w:t>ll International Edition (Asia)</w:t>
      </w:r>
    </w:p>
    <w:p w:rsidR="00931C3B" w:rsidRDefault="00931C3B" w:rsidP="00931C3B">
      <w:pPr>
        <w:pStyle w:val="ListParagraph"/>
        <w:numPr>
          <w:ilvl w:val="0"/>
          <w:numId w:val="11"/>
        </w:numPr>
      </w:pPr>
      <w:r>
        <w:t xml:space="preserve">Gagalac-Regis, Emelina, Labra-Espina, and Yacat, Ma Yvaine (2001). </w:t>
      </w:r>
      <w:r w:rsidRPr="00BF70F1">
        <w:rPr>
          <w:i/>
        </w:rPr>
        <w:t>The Pasig River: Caring for a Dying Ecosystem</w:t>
      </w:r>
      <w:r>
        <w:t>, Pasig River Rehabilitation Commission, Manila</w:t>
      </w:r>
    </w:p>
    <w:p w:rsidR="00931C3B" w:rsidRDefault="00931C3B" w:rsidP="00931C3B">
      <w:pPr>
        <w:pStyle w:val="ListParagraph"/>
        <w:numPr>
          <w:ilvl w:val="0"/>
          <w:numId w:val="11"/>
        </w:numPr>
        <w:spacing w:after="0"/>
      </w:pPr>
      <w:r w:rsidRPr="00AB6ADD">
        <w:t>Harding, R (1998). Environmental Decision-Making, The Federation Press, NSW, Australia</w:t>
      </w:r>
    </w:p>
    <w:p w:rsidR="00931C3B" w:rsidRDefault="00931C3B" w:rsidP="00931C3B">
      <w:pPr>
        <w:pStyle w:val="ListParagraph"/>
        <w:numPr>
          <w:ilvl w:val="0"/>
          <w:numId w:val="11"/>
        </w:numPr>
      </w:pPr>
      <w:r w:rsidRPr="00AB6ADD">
        <w:t xml:space="preserve">Henry, J.G. and Heinke, G.W. (2000). </w:t>
      </w:r>
      <w:r w:rsidRPr="00BF70F1">
        <w:rPr>
          <w:i/>
        </w:rPr>
        <w:t>Environmental Science and Engineering</w:t>
      </w:r>
      <w:r w:rsidRPr="00AB6ADD">
        <w:t>, Pearson Education Asia Pte., Ltd.,Singapore, ISBN: 981-4058-48-3</w:t>
      </w:r>
    </w:p>
    <w:p w:rsidR="00931C3B" w:rsidRPr="00B44FE8" w:rsidRDefault="00931C3B" w:rsidP="00931C3B">
      <w:pPr>
        <w:pStyle w:val="ListParagraph"/>
        <w:numPr>
          <w:ilvl w:val="0"/>
          <w:numId w:val="11"/>
        </w:numPr>
        <w:rPr>
          <w:b/>
        </w:rPr>
      </w:pPr>
      <w:r w:rsidRPr="00B44FE8">
        <w:rPr>
          <w:b/>
        </w:rPr>
        <w:t xml:space="preserve">Lee, S J, and Anes, M L. (2010). </w:t>
      </w:r>
      <w:r w:rsidRPr="00B44FE8">
        <w:rPr>
          <w:b/>
          <w:i/>
        </w:rPr>
        <w:t>Environmental Science – The Economy of Nature and Ecology of Man</w:t>
      </w:r>
      <w:r w:rsidRPr="00B44FE8">
        <w:rPr>
          <w:b/>
        </w:rPr>
        <w:t>, 2</w:t>
      </w:r>
      <w:r w:rsidRPr="00B44FE8">
        <w:rPr>
          <w:b/>
          <w:vertAlign w:val="superscript"/>
        </w:rPr>
        <w:t>nd</w:t>
      </w:r>
      <w:r w:rsidRPr="00B44FE8">
        <w:rPr>
          <w:b/>
        </w:rPr>
        <w:t xml:space="preserve"> Edition, C &amp; E Publishing, Inc., Quezon City, Philippines</w:t>
      </w:r>
    </w:p>
    <w:p w:rsidR="00931C3B" w:rsidRPr="00B44FE8" w:rsidRDefault="00931C3B" w:rsidP="00931C3B">
      <w:pPr>
        <w:pStyle w:val="ListParagraph"/>
        <w:numPr>
          <w:ilvl w:val="0"/>
          <w:numId w:val="11"/>
        </w:numPr>
        <w:rPr>
          <w:b/>
        </w:rPr>
      </w:pPr>
      <w:r w:rsidRPr="00B44FE8">
        <w:rPr>
          <w:b/>
        </w:rPr>
        <w:t xml:space="preserve">Mihelcic, J.R. and Zimmerman, J.B. (2010). </w:t>
      </w:r>
      <w:r w:rsidRPr="00B44FE8">
        <w:rPr>
          <w:b/>
          <w:i/>
        </w:rPr>
        <w:t>Environmental Engineering Fundamentals</w:t>
      </w:r>
      <w:r w:rsidRPr="00B44FE8">
        <w:rPr>
          <w:b/>
        </w:rPr>
        <w:t>, Sustainability, Design, John Wiley &amp; Sons Singapore Pte, Ltd., Singapore, ISBN-13:978-981-253-340-1</w:t>
      </w:r>
    </w:p>
    <w:p w:rsidR="00931C3B" w:rsidRDefault="00931C3B" w:rsidP="00931C3B">
      <w:pPr>
        <w:pStyle w:val="ListParagraph"/>
        <w:numPr>
          <w:ilvl w:val="0"/>
          <w:numId w:val="11"/>
        </w:numPr>
        <w:rPr>
          <w:b/>
        </w:rPr>
      </w:pPr>
      <w:r w:rsidRPr="00B44FE8">
        <w:rPr>
          <w:b/>
        </w:rPr>
        <w:t>Miller</w:t>
      </w:r>
      <w:r>
        <w:rPr>
          <w:b/>
        </w:rPr>
        <w:t xml:space="preserve">, G., Jr. &amp; Spoolman, S. (2013). </w:t>
      </w:r>
      <w:r w:rsidRPr="004235D8">
        <w:rPr>
          <w:b/>
          <w:i/>
        </w:rPr>
        <w:t>Principles of Environmental Science</w:t>
      </w:r>
      <w:r>
        <w:rPr>
          <w:b/>
        </w:rPr>
        <w:t>, Cengage Learning Asia Pte, Ltd., Singapore</w:t>
      </w:r>
    </w:p>
    <w:p w:rsidR="00931C3B" w:rsidRPr="004235D8" w:rsidRDefault="00931C3B" w:rsidP="00931C3B">
      <w:pPr>
        <w:pStyle w:val="ListParagraph"/>
        <w:numPr>
          <w:ilvl w:val="0"/>
          <w:numId w:val="11"/>
        </w:numPr>
      </w:pPr>
      <w:r w:rsidRPr="004235D8">
        <w:t xml:space="preserve">Tayo, </w:t>
      </w:r>
      <w:r>
        <w:t>G. , Gascon, C., Maglambayan, V., Novicio, L., and Viril, V. (2004). Fundamentals of Environmental Science, Trinitas Publishing, Inc., Philippines</w:t>
      </w:r>
    </w:p>
    <w:p w:rsidR="00931C3B" w:rsidRPr="00AB6ADD" w:rsidRDefault="00931C3B" w:rsidP="00931C3B">
      <w:pPr>
        <w:pStyle w:val="ListParagraph"/>
        <w:numPr>
          <w:ilvl w:val="0"/>
          <w:numId w:val="11"/>
        </w:numPr>
      </w:pPr>
      <w:r>
        <w:t xml:space="preserve">Montgomery, Carla (2000).  </w:t>
      </w:r>
      <w:r w:rsidRPr="00BF70F1">
        <w:rPr>
          <w:i/>
        </w:rPr>
        <w:t>Environmental Geology</w:t>
      </w:r>
      <w:r>
        <w:t>, 5</w:t>
      </w:r>
      <w:r w:rsidRPr="008871E2">
        <w:rPr>
          <w:vertAlign w:val="superscript"/>
        </w:rPr>
        <w:t>th</w:t>
      </w:r>
      <w:r>
        <w:t xml:space="preserve"> Edition Update, McGraw-Hill Higher Education, USA</w:t>
      </w:r>
    </w:p>
    <w:p w:rsidR="00931C3B" w:rsidRDefault="00931C3B" w:rsidP="00931C3B">
      <w:pPr>
        <w:pStyle w:val="ListParagraph"/>
        <w:numPr>
          <w:ilvl w:val="0"/>
          <w:numId w:val="11"/>
        </w:numPr>
      </w:pPr>
      <w:r w:rsidRPr="00AB6ADD">
        <w:t xml:space="preserve">Speight, J.G. and Lee S. (2000). </w:t>
      </w:r>
      <w:r w:rsidRPr="00BF70F1">
        <w:rPr>
          <w:i/>
        </w:rPr>
        <w:t>Environmental Technology Handbook</w:t>
      </w:r>
      <w:r w:rsidRPr="00AB6ADD">
        <w:t>, 2</w:t>
      </w:r>
      <w:r w:rsidRPr="00AB6ADD">
        <w:rPr>
          <w:vertAlign w:val="superscript"/>
        </w:rPr>
        <w:t>nd</w:t>
      </w:r>
      <w:r w:rsidRPr="00AB6ADD">
        <w:t xml:space="preserve"> Edition, Taylor &amp; Francis, USA, ISBN: 1-56032-892-4</w:t>
      </w:r>
    </w:p>
    <w:p w:rsidR="00931C3B" w:rsidRDefault="00931C3B" w:rsidP="00931C3B">
      <w:pPr>
        <w:pStyle w:val="ListParagraph"/>
        <w:numPr>
          <w:ilvl w:val="0"/>
          <w:numId w:val="11"/>
        </w:numPr>
      </w:pPr>
      <w:r w:rsidRPr="00AB6ADD">
        <w:t>Vesilind P.A, Morgan, S.M., and Heine, L.G. (2013</w:t>
      </w:r>
      <w:r w:rsidRPr="00BF70F1">
        <w:rPr>
          <w:i/>
        </w:rPr>
        <w:t>). Introduction to Environmental Engineering</w:t>
      </w:r>
      <w:r w:rsidRPr="00AB6ADD">
        <w:t>, 1</w:t>
      </w:r>
      <w:r w:rsidRPr="00AB6ADD">
        <w:rPr>
          <w:vertAlign w:val="superscript"/>
        </w:rPr>
        <w:t>st</w:t>
      </w:r>
      <w:r w:rsidRPr="00AB6ADD">
        <w:t xml:space="preserve"> Philippine reprint, Cengage Learning Asia Pte Ltd., Singapore, ISBN 13:978-981-4524-13-1</w:t>
      </w:r>
    </w:p>
    <w:p w:rsidR="008871E2" w:rsidRPr="00AB6ADD" w:rsidRDefault="008871E2" w:rsidP="008871E2">
      <w:pPr>
        <w:pStyle w:val="ListParagraph"/>
      </w:pPr>
    </w:p>
    <w:p w:rsidR="00A210C1" w:rsidRDefault="00961282" w:rsidP="00A210C1">
      <w:pPr>
        <w:pStyle w:val="ListParagraph"/>
        <w:spacing w:after="0"/>
      </w:pPr>
      <w:r>
        <w:rPr>
          <w:noProof/>
          <w:lang w:eastAsia="en-PH"/>
        </w:rPr>
        <w:pict>
          <v:rect id="_x0000_s1099" style="position:absolute;left:0;text-align:left;margin-left:-5.6pt;margin-top:6.65pt;width:550.7pt;height:176.55pt;z-index:-251644929" fillcolor="#d8d8d8 [2732]" strokeweight="1.5pt"/>
        </w:pict>
      </w:r>
    </w:p>
    <w:p w:rsidR="00E9592E" w:rsidRDefault="00E9592E" w:rsidP="00A210C1">
      <w:pPr>
        <w:spacing w:after="0"/>
        <w:rPr>
          <w:b/>
          <w:sz w:val="24"/>
          <w:szCs w:val="24"/>
        </w:rPr>
      </w:pPr>
      <w:r>
        <w:rPr>
          <w:b/>
          <w:sz w:val="24"/>
          <w:szCs w:val="24"/>
        </w:rPr>
        <w:t>GROUP WORK #1</w:t>
      </w:r>
      <w:r w:rsidR="00A210C1" w:rsidRPr="00A210C1">
        <w:rPr>
          <w:b/>
          <w:sz w:val="24"/>
          <w:szCs w:val="24"/>
        </w:rPr>
        <w:t xml:space="preserve">:  </w:t>
      </w:r>
      <w:r>
        <w:rPr>
          <w:b/>
          <w:sz w:val="24"/>
          <w:szCs w:val="24"/>
        </w:rPr>
        <w:t xml:space="preserve">PREPARE AND SUBMIT A COLLAGE PERTAINING TO 2030 SUSTAINABLE </w:t>
      </w:r>
    </w:p>
    <w:p w:rsidR="00A210C1" w:rsidRPr="00A210C1" w:rsidRDefault="00E9592E" w:rsidP="00A210C1">
      <w:pPr>
        <w:spacing w:after="0"/>
        <w:rPr>
          <w:b/>
          <w:sz w:val="24"/>
          <w:szCs w:val="24"/>
        </w:rPr>
      </w:pPr>
      <w:r>
        <w:rPr>
          <w:b/>
          <w:sz w:val="24"/>
          <w:szCs w:val="24"/>
        </w:rPr>
        <w:t>DEVELOPMENT GOALS</w:t>
      </w:r>
      <w:r w:rsidR="00874707">
        <w:rPr>
          <w:b/>
          <w:sz w:val="24"/>
          <w:szCs w:val="24"/>
        </w:rPr>
        <w:t>, due date: 13 July 2016</w:t>
      </w:r>
    </w:p>
    <w:p w:rsidR="00A210C1" w:rsidRPr="00A210C1" w:rsidRDefault="00E9592E" w:rsidP="00A210C1">
      <w:pPr>
        <w:pStyle w:val="ListParagraph"/>
        <w:numPr>
          <w:ilvl w:val="0"/>
          <w:numId w:val="17"/>
        </w:numPr>
        <w:spacing w:after="0"/>
        <w:rPr>
          <w:sz w:val="24"/>
          <w:szCs w:val="24"/>
        </w:rPr>
      </w:pPr>
      <w:r>
        <w:rPr>
          <w:sz w:val="24"/>
          <w:szCs w:val="24"/>
        </w:rPr>
        <w:t>Each group will be assigned to interpret two</w:t>
      </w:r>
      <w:r w:rsidR="009954F1">
        <w:rPr>
          <w:sz w:val="24"/>
          <w:szCs w:val="24"/>
        </w:rPr>
        <w:t xml:space="preserve"> (2)</w:t>
      </w:r>
      <w:r>
        <w:rPr>
          <w:sz w:val="24"/>
          <w:szCs w:val="24"/>
        </w:rPr>
        <w:t xml:space="preserve"> SDGs. </w:t>
      </w:r>
    </w:p>
    <w:p w:rsidR="00A210C1" w:rsidRPr="00A210C1" w:rsidRDefault="00E9592E" w:rsidP="00A210C1">
      <w:pPr>
        <w:pStyle w:val="ListParagraph"/>
        <w:numPr>
          <w:ilvl w:val="0"/>
          <w:numId w:val="17"/>
        </w:numPr>
        <w:spacing w:after="0"/>
        <w:rPr>
          <w:sz w:val="24"/>
          <w:szCs w:val="24"/>
        </w:rPr>
      </w:pPr>
      <w:r>
        <w:rPr>
          <w:sz w:val="24"/>
          <w:szCs w:val="24"/>
        </w:rPr>
        <w:t xml:space="preserve">Using </w:t>
      </w:r>
      <w:r w:rsidR="00377373">
        <w:rPr>
          <w:sz w:val="24"/>
          <w:szCs w:val="24"/>
        </w:rPr>
        <w:t>1/2</w:t>
      </w:r>
      <w:r>
        <w:rPr>
          <w:sz w:val="24"/>
          <w:szCs w:val="24"/>
        </w:rPr>
        <w:t xml:space="preserve"> illustration board, </w:t>
      </w:r>
      <w:r w:rsidR="00874707">
        <w:rPr>
          <w:sz w:val="24"/>
          <w:szCs w:val="24"/>
        </w:rPr>
        <w:t>prepare/create a photo collage to illustrate the assigned SDGs.</w:t>
      </w:r>
    </w:p>
    <w:p w:rsidR="00874707" w:rsidRDefault="00874707" w:rsidP="00A210C1">
      <w:pPr>
        <w:pStyle w:val="ListParagraph"/>
        <w:numPr>
          <w:ilvl w:val="0"/>
          <w:numId w:val="17"/>
        </w:numPr>
        <w:spacing w:after="0"/>
        <w:rPr>
          <w:sz w:val="24"/>
          <w:szCs w:val="24"/>
        </w:rPr>
      </w:pPr>
      <w:r>
        <w:rPr>
          <w:sz w:val="24"/>
          <w:szCs w:val="24"/>
        </w:rPr>
        <w:t xml:space="preserve">A photos collage is made of images or graphics using newspaper clippings, old magazines, and </w:t>
      </w:r>
    </w:p>
    <w:p w:rsidR="00A210C1" w:rsidRDefault="00874707" w:rsidP="00874707">
      <w:pPr>
        <w:pStyle w:val="ListParagraph"/>
        <w:spacing w:after="0"/>
        <w:rPr>
          <w:sz w:val="24"/>
          <w:szCs w:val="24"/>
        </w:rPr>
      </w:pPr>
      <w:r>
        <w:rPr>
          <w:sz w:val="24"/>
          <w:szCs w:val="24"/>
        </w:rPr>
        <w:t xml:space="preserve">other reading materials, </w:t>
      </w:r>
      <w:r w:rsidRPr="00874707">
        <w:rPr>
          <w:sz w:val="24"/>
          <w:szCs w:val="24"/>
        </w:rPr>
        <w:t xml:space="preserve">including free graphics or images available online. </w:t>
      </w:r>
      <w:r w:rsidRPr="00874707">
        <w:rPr>
          <w:sz w:val="24"/>
          <w:szCs w:val="24"/>
          <w:u w:val="single"/>
        </w:rPr>
        <w:t>Refrain from using copyrighted materials</w:t>
      </w:r>
      <w:r w:rsidRPr="00874707">
        <w:rPr>
          <w:sz w:val="24"/>
          <w:szCs w:val="24"/>
        </w:rPr>
        <w:t>.</w:t>
      </w:r>
      <w:r w:rsidR="009954F1">
        <w:rPr>
          <w:sz w:val="24"/>
          <w:szCs w:val="24"/>
        </w:rPr>
        <w:t xml:space="preserve"> Only decent images should be used.</w:t>
      </w:r>
    </w:p>
    <w:p w:rsidR="00BA7873" w:rsidRPr="00BA7873" w:rsidRDefault="009954F1" w:rsidP="00BA7873">
      <w:pPr>
        <w:pStyle w:val="ListParagraph"/>
        <w:numPr>
          <w:ilvl w:val="0"/>
          <w:numId w:val="17"/>
        </w:numPr>
        <w:spacing w:after="0"/>
        <w:rPr>
          <w:sz w:val="24"/>
          <w:szCs w:val="24"/>
        </w:rPr>
      </w:pPr>
      <w:r>
        <w:rPr>
          <w:sz w:val="24"/>
          <w:szCs w:val="24"/>
        </w:rPr>
        <w:t>Additional points to the winning collage will be awarded to the group.</w:t>
      </w:r>
    </w:p>
    <w:p w:rsidR="00BA7873" w:rsidRPr="00BA7873" w:rsidRDefault="00BA7873" w:rsidP="00BA7873">
      <w:pPr>
        <w:spacing w:after="0"/>
        <w:rPr>
          <w:sz w:val="24"/>
          <w:szCs w:val="24"/>
        </w:rPr>
      </w:pPr>
    </w:p>
    <w:p w:rsidR="00A210C1" w:rsidRPr="00A210C1" w:rsidRDefault="00A210C1" w:rsidP="00874707">
      <w:pPr>
        <w:pStyle w:val="ListParagraph"/>
        <w:spacing w:after="0"/>
        <w:rPr>
          <w:sz w:val="24"/>
          <w:szCs w:val="24"/>
        </w:rPr>
      </w:pPr>
    </w:p>
    <w:p w:rsidR="00A210C1" w:rsidRPr="00AB6ADD" w:rsidRDefault="00A210C1" w:rsidP="00A210C1">
      <w:pPr>
        <w:pStyle w:val="ListParagraph"/>
        <w:spacing w:after="0"/>
      </w:pPr>
    </w:p>
    <w:sectPr w:rsidR="00A210C1" w:rsidRPr="00AB6ADD" w:rsidSect="000605C1">
      <w:footerReference w:type="default" r:id="rId30"/>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5D1" w:rsidRDefault="00E615D1" w:rsidP="0095354D">
      <w:pPr>
        <w:spacing w:after="0" w:line="240" w:lineRule="auto"/>
      </w:pPr>
      <w:r>
        <w:separator/>
      </w:r>
    </w:p>
  </w:endnote>
  <w:endnote w:type="continuationSeparator" w:id="1">
    <w:p w:rsidR="00E615D1" w:rsidRDefault="00E615D1" w:rsidP="009535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387422"/>
      <w:docPartObj>
        <w:docPartGallery w:val="Page Numbers (Bottom of Page)"/>
        <w:docPartUnique/>
      </w:docPartObj>
    </w:sdtPr>
    <w:sdtContent>
      <w:p w:rsidR="00726AA9" w:rsidRDefault="00726AA9">
        <w:pPr>
          <w:pStyle w:val="Footer"/>
          <w:jc w:val="right"/>
        </w:pPr>
        <w:r>
          <w:t xml:space="preserve">Page | </w:t>
        </w:r>
        <w:fldSimple w:instr=" PAGE   \* MERGEFORMAT ">
          <w:r w:rsidR="00377373">
            <w:rPr>
              <w:noProof/>
            </w:rPr>
            <w:t>4</w:t>
          </w:r>
        </w:fldSimple>
        <w:r>
          <w:t xml:space="preserve"> </w:t>
        </w:r>
      </w:p>
    </w:sdtContent>
  </w:sdt>
  <w:p w:rsidR="00726AA9" w:rsidRDefault="00726A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5D1" w:rsidRDefault="00E615D1" w:rsidP="0095354D">
      <w:pPr>
        <w:spacing w:after="0" w:line="240" w:lineRule="auto"/>
      </w:pPr>
      <w:r>
        <w:separator/>
      </w:r>
    </w:p>
  </w:footnote>
  <w:footnote w:type="continuationSeparator" w:id="1">
    <w:p w:rsidR="00E615D1" w:rsidRDefault="00E615D1" w:rsidP="009535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D66C2"/>
    <w:multiLevelType w:val="hybridMultilevel"/>
    <w:tmpl w:val="6DA4C246"/>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0DA8133B"/>
    <w:multiLevelType w:val="hybridMultilevel"/>
    <w:tmpl w:val="F0B858B4"/>
    <w:lvl w:ilvl="0" w:tplc="4018323E">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14B466C4"/>
    <w:multiLevelType w:val="hybridMultilevel"/>
    <w:tmpl w:val="8AAA1F7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15D078C4"/>
    <w:multiLevelType w:val="hybridMultilevel"/>
    <w:tmpl w:val="BFE66440"/>
    <w:lvl w:ilvl="0" w:tplc="BF3CF014">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
    <w:nsid w:val="17735099"/>
    <w:multiLevelType w:val="hybridMultilevel"/>
    <w:tmpl w:val="1A2EA91E"/>
    <w:lvl w:ilvl="0" w:tplc="A91E663A">
      <w:start w:val="1"/>
      <w:numFmt w:val="decimal"/>
      <w:lvlText w:val="%1."/>
      <w:lvlJc w:val="left"/>
      <w:pPr>
        <w:ind w:left="360" w:hanging="360"/>
      </w:pPr>
      <w:rPr>
        <w:rFonts w:hint="default"/>
        <w:sz w:val="22"/>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5">
    <w:nsid w:val="29DE68AA"/>
    <w:multiLevelType w:val="hybridMultilevel"/>
    <w:tmpl w:val="7C1A5BEA"/>
    <w:lvl w:ilvl="0" w:tplc="69C2A410">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6">
    <w:nsid w:val="2F2A1510"/>
    <w:multiLevelType w:val="hybridMultilevel"/>
    <w:tmpl w:val="1FC659AC"/>
    <w:lvl w:ilvl="0" w:tplc="18CA7BA6">
      <w:start w:val="1"/>
      <w:numFmt w:val="bullet"/>
      <w:lvlText w:val=""/>
      <w:lvlJc w:val="left"/>
      <w:pPr>
        <w:ind w:left="1080" w:hanging="360"/>
      </w:pPr>
      <w:rPr>
        <w:rFonts w:ascii="Symbol" w:eastAsia="Times New Roman" w:hAnsi="Symbol" w:cs="Times New Roman"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7">
    <w:nsid w:val="3CC74FF9"/>
    <w:multiLevelType w:val="hybridMultilevel"/>
    <w:tmpl w:val="FB406DD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474307C0"/>
    <w:multiLevelType w:val="hybridMultilevel"/>
    <w:tmpl w:val="DAD26AC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52490A2A"/>
    <w:multiLevelType w:val="hybridMultilevel"/>
    <w:tmpl w:val="2010592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560F4FC6"/>
    <w:multiLevelType w:val="hybridMultilevel"/>
    <w:tmpl w:val="5D669892"/>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1">
    <w:nsid w:val="60F73B05"/>
    <w:multiLevelType w:val="hybridMultilevel"/>
    <w:tmpl w:val="D94A9934"/>
    <w:lvl w:ilvl="0" w:tplc="87E85712">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634A6756"/>
    <w:multiLevelType w:val="hybridMultilevel"/>
    <w:tmpl w:val="863E8072"/>
    <w:lvl w:ilvl="0" w:tplc="36D03CA2">
      <w:start w:val="1"/>
      <w:numFmt w:val="bullet"/>
      <w:lvlText w:val="-"/>
      <w:lvlJc w:val="left"/>
      <w:pPr>
        <w:ind w:left="1080" w:hanging="360"/>
      </w:pPr>
      <w:rPr>
        <w:rFonts w:ascii="Calibri" w:eastAsiaTheme="minorHAnsi" w:hAnsi="Calibri" w:cs="Times New Roman"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3">
    <w:nsid w:val="63BA238E"/>
    <w:multiLevelType w:val="hybridMultilevel"/>
    <w:tmpl w:val="4348704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nsid w:val="680975CF"/>
    <w:multiLevelType w:val="hybridMultilevel"/>
    <w:tmpl w:val="D7601E5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nsid w:val="771D6FD7"/>
    <w:multiLevelType w:val="hybridMultilevel"/>
    <w:tmpl w:val="3604B32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7AE576CE"/>
    <w:multiLevelType w:val="hybridMultilevel"/>
    <w:tmpl w:val="95928318"/>
    <w:lvl w:ilvl="0" w:tplc="565A24C8">
      <w:numFmt w:val="bullet"/>
      <w:lvlText w:val="-"/>
      <w:lvlJc w:val="left"/>
      <w:pPr>
        <w:ind w:left="360" w:hanging="360"/>
      </w:pPr>
      <w:rPr>
        <w:rFonts w:ascii="Times New Roman" w:eastAsia="Wingdings-Regular" w:hAnsi="Times New Roman" w:cs="Times New Roman"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7">
    <w:nsid w:val="7C8713B3"/>
    <w:multiLevelType w:val="hybridMultilevel"/>
    <w:tmpl w:val="080863B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nsid w:val="7EC22A25"/>
    <w:multiLevelType w:val="hybridMultilevel"/>
    <w:tmpl w:val="E2CE8000"/>
    <w:lvl w:ilvl="0" w:tplc="50B479BE">
      <w:start w:val="1"/>
      <w:numFmt w:val="bullet"/>
      <w:lvlText w:val=""/>
      <w:lvlJc w:val="left"/>
      <w:pPr>
        <w:ind w:left="720" w:hanging="360"/>
      </w:pPr>
      <w:rPr>
        <w:rFonts w:ascii="Symbol" w:eastAsia="Arial Unicode MS" w:hAnsi="Symbol" w:cs="Arial Unicode M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3"/>
  </w:num>
  <w:num w:numId="4">
    <w:abstractNumId w:val="18"/>
  </w:num>
  <w:num w:numId="5">
    <w:abstractNumId w:val="15"/>
  </w:num>
  <w:num w:numId="6">
    <w:abstractNumId w:val="12"/>
  </w:num>
  <w:num w:numId="7">
    <w:abstractNumId w:val="2"/>
  </w:num>
  <w:num w:numId="8">
    <w:abstractNumId w:val="9"/>
  </w:num>
  <w:num w:numId="9">
    <w:abstractNumId w:val="14"/>
  </w:num>
  <w:num w:numId="10">
    <w:abstractNumId w:val="17"/>
  </w:num>
  <w:num w:numId="11">
    <w:abstractNumId w:val="1"/>
  </w:num>
  <w:num w:numId="12">
    <w:abstractNumId w:val="4"/>
  </w:num>
  <w:num w:numId="13">
    <w:abstractNumId w:val="6"/>
  </w:num>
  <w:num w:numId="14">
    <w:abstractNumId w:val="0"/>
  </w:num>
  <w:num w:numId="15">
    <w:abstractNumId w:val="3"/>
  </w:num>
  <w:num w:numId="16">
    <w:abstractNumId w:val="5"/>
  </w:num>
  <w:num w:numId="17">
    <w:abstractNumId w:val="7"/>
  </w:num>
  <w:num w:numId="18">
    <w:abstractNumId w:val="11"/>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458D4"/>
    <w:rsid w:val="00040A4D"/>
    <w:rsid w:val="00051FFD"/>
    <w:rsid w:val="000605C1"/>
    <w:rsid w:val="000635D4"/>
    <w:rsid w:val="000F2AC9"/>
    <w:rsid w:val="000F5DA4"/>
    <w:rsid w:val="000F615E"/>
    <w:rsid w:val="00115831"/>
    <w:rsid w:val="00127B2C"/>
    <w:rsid w:val="00156C1D"/>
    <w:rsid w:val="001F5C52"/>
    <w:rsid w:val="00221505"/>
    <w:rsid w:val="002242EE"/>
    <w:rsid w:val="00251D25"/>
    <w:rsid w:val="00257A60"/>
    <w:rsid w:val="00265971"/>
    <w:rsid w:val="002E7101"/>
    <w:rsid w:val="0030261B"/>
    <w:rsid w:val="0032063A"/>
    <w:rsid w:val="00327DFE"/>
    <w:rsid w:val="0036053F"/>
    <w:rsid w:val="00377373"/>
    <w:rsid w:val="003819CE"/>
    <w:rsid w:val="0039636D"/>
    <w:rsid w:val="003D15D9"/>
    <w:rsid w:val="003E427F"/>
    <w:rsid w:val="00445B45"/>
    <w:rsid w:val="00506766"/>
    <w:rsid w:val="005071FD"/>
    <w:rsid w:val="00576B5B"/>
    <w:rsid w:val="00597BB1"/>
    <w:rsid w:val="005B2934"/>
    <w:rsid w:val="005D5AD7"/>
    <w:rsid w:val="005F10AD"/>
    <w:rsid w:val="006278DB"/>
    <w:rsid w:val="00635F25"/>
    <w:rsid w:val="00650731"/>
    <w:rsid w:val="006D2B0F"/>
    <w:rsid w:val="006F23A9"/>
    <w:rsid w:val="00715BB3"/>
    <w:rsid w:val="00726AA9"/>
    <w:rsid w:val="007441B9"/>
    <w:rsid w:val="007566C5"/>
    <w:rsid w:val="00767777"/>
    <w:rsid w:val="00776B67"/>
    <w:rsid w:val="007E1E5D"/>
    <w:rsid w:val="00810FE5"/>
    <w:rsid w:val="008309B8"/>
    <w:rsid w:val="00851D6B"/>
    <w:rsid w:val="00874707"/>
    <w:rsid w:val="008871E2"/>
    <w:rsid w:val="00893816"/>
    <w:rsid w:val="008F4AE3"/>
    <w:rsid w:val="00931C3B"/>
    <w:rsid w:val="00947B28"/>
    <w:rsid w:val="0095354D"/>
    <w:rsid w:val="00961282"/>
    <w:rsid w:val="00963AA3"/>
    <w:rsid w:val="00967368"/>
    <w:rsid w:val="009954F1"/>
    <w:rsid w:val="009C2B83"/>
    <w:rsid w:val="00A2069E"/>
    <w:rsid w:val="00A210C1"/>
    <w:rsid w:val="00A65D07"/>
    <w:rsid w:val="00A8128B"/>
    <w:rsid w:val="00AB6ADD"/>
    <w:rsid w:val="00AF063A"/>
    <w:rsid w:val="00B15B5F"/>
    <w:rsid w:val="00B73FC5"/>
    <w:rsid w:val="00B95242"/>
    <w:rsid w:val="00BA7873"/>
    <w:rsid w:val="00BD127D"/>
    <w:rsid w:val="00BE3E2B"/>
    <w:rsid w:val="00BF3F69"/>
    <w:rsid w:val="00BF70F1"/>
    <w:rsid w:val="00C02740"/>
    <w:rsid w:val="00C77985"/>
    <w:rsid w:val="00CB4F51"/>
    <w:rsid w:val="00D037AE"/>
    <w:rsid w:val="00DC405B"/>
    <w:rsid w:val="00E01F2B"/>
    <w:rsid w:val="00E054D3"/>
    <w:rsid w:val="00E17317"/>
    <w:rsid w:val="00E55A32"/>
    <w:rsid w:val="00E615D1"/>
    <w:rsid w:val="00E75CB7"/>
    <w:rsid w:val="00E9592E"/>
    <w:rsid w:val="00EF0CD2"/>
    <w:rsid w:val="00EF64F5"/>
    <w:rsid w:val="00F458D4"/>
    <w:rsid w:val="00F63551"/>
    <w:rsid w:val="00F712A9"/>
    <w:rsid w:val="00F9254B"/>
    <w:rsid w:val="00FE6460"/>
    <w:rsid w:val="00FF31CD"/>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2732]"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9B8"/>
  </w:style>
  <w:style w:type="paragraph" w:styleId="Heading1">
    <w:name w:val="heading 1"/>
    <w:basedOn w:val="Normal"/>
    <w:next w:val="Normal"/>
    <w:link w:val="Heading1Char"/>
    <w:uiPriority w:val="9"/>
    <w:qFormat/>
    <w:rsid w:val="00AB6AD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931C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31C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740"/>
    <w:pPr>
      <w:ind w:left="720"/>
      <w:contextualSpacing/>
    </w:pPr>
  </w:style>
  <w:style w:type="paragraph" w:styleId="BalloonText">
    <w:name w:val="Balloon Text"/>
    <w:basedOn w:val="Normal"/>
    <w:link w:val="BalloonTextChar"/>
    <w:uiPriority w:val="99"/>
    <w:semiHidden/>
    <w:unhideWhenUsed/>
    <w:rsid w:val="00C02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740"/>
    <w:rPr>
      <w:rFonts w:ascii="Tahoma" w:hAnsi="Tahoma" w:cs="Tahoma"/>
      <w:sz w:val="16"/>
      <w:szCs w:val="16"/>
    </w:rPr>
  </w:style>
  <w:style w:type="paragraph" w:styleId="Header">
    <w:name w:val="header"/>
    <w:basedOn w:val="Normal"/>
    <w:link w:val="HeaderChar"/>
    <w:uiPriority w:val="99"/>
    <w:semiHidden/>
    <w:unhideWhenUsed/>
    <w:rsid w:val="009535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354D"/>
  </w:style>
  <w:style w:type="paragraph" w:styleId="Footer">
    <w:name w:val="footer"/>
    <w:basedOn w:val="Normal"/>
    <w:link w:val="FooterChar"/>
    <w:uiPriority w:val="99"/>
    <w:unhideWhenUsed/>
    <w:rsid w:val="00953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54D"/>
  </w:style>
  <w:style w:type="character" w:customStyle="1" w:styleId="Heading1Char">
    <w:name w:val="Heading 1 Char"/>
    <w:basedOn w:val="DefaultParagraphFont"/>
    <w:link w:val="Heading1"/>
    <w:uiPriority w:val="9"/>
    <w:rsid w:val="00AB6ADD"/>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931C3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31C3B"/>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931C3B"/>
  </w:style>
  <w:style w:type="character" w:styleId="Hyperlink">
    <w:name w:val="Hyperlink"/>
    <w:basedOn w:val="DefaultParagraphFont"/>
    <w:uiPriority w:val="99"/>
    <w:unhideWhenUsed/>
    <w:rsid w:val="00931C3B"/>
    <w:rPr>
      <w:color w:val="0000FF"/>
      <w:u w:val="single"/>
    </w:rPr>
  </w:style>
  <w:style w:type="paragraph" w:styleId="NormalWeb">
    <w:name w:val="Normal (Web)"/>
    <w:basedOn w:val="Normal"/>
    <w:uiPriority w:val="99"/>
    <w:semiHidden/>
    <w:unhideWhenUsed/>
    <w:rsid w:val="00931C3B"/>
    <w:pPr>
      <w:spacing w:before="100" w:beforeAutospacing="1" w:after="100" w:afterAutospacing="1" w:line="240" w:lineRule="auto"/>
    </w:pPr>
    <w:rPr>
      <w:rFonts w:ascii="Times New Roman" w:eastAsia="Times New Roman" w:hAnsi="Times New Roman" w:cs="Times New Roman"/>
      <w:sz w:val="24"/>
      <w:szCs w:val="24"/>
      <w:lang w:eastAsia="en-P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Hunger" TargetMode="External"/><Relationship Id="rId18" Type="http://schemas.openxmlformats.org/officeDocument/2006/relationships/hyperlink" Target="https://en.wikipedia.org/wiki/HIV/AIDS" TargetMode="External"/><Relationship Id="rId26" Type="http://schemas.openxmlformats.org/officeDocument/2006/relationships/hyperlink" Target="http://pcsd.neda.gov.ph/publications/epa-21/#" TargetMode="External"/><Relationship Id="rId3" Type="http://schemas.openxmlformats.org/officeDocument/2006/relationships/styles" Target="styles.xml"/><Relationship Id="rId21" Type="http://schemas.openxmlformats.org/officeDocument/2006/relationships/hyperlink" Target="https://sustainabledevelopment.un.org/post2015/transformingourworld" TargetMode="External"/><Relationship Id="rId7" Type="http://schemas.openxmlformats.org/officeDocument/2006/relationships/endnotes" Target="endnotes.xml"/><Relationship Id="rId12" Type="http://schemas.openxmlformats.org/officeDocument/2006/relationships/hyperlink" Target="https://en.wikipedia.org/wiki/Extreme_poverty" TargetMode="External"/><Relationship Id="rId17" Type="http://schemas.openxmlformats.org/officeDocument/2006/relationships/hyperlink" Target="https://en.wikipedia.org/wiki/Maternal_health" TargetMode="External"/><Relationship Id="rId25" Type="http://schemas.openxmlformats.org/officeDocument/2006/relationships/hyperlink" Target="http://pcsd.neda.gov.ph/publications/epa-21/" TargetMode="External"/><Relationship Id="rId2" Type="http://schemas.openxmlformats.org/officeDocument/2006/relationships/numbering" Target="numbering.xml"/><Relationship Id="rId16" Type="http://schemas.openxmlformats.org/officeDocument/2006/relationships/hyperlink" Target="https://en.wikipedia.org/wiki/Child_mortality" TargetMode="External"/><Relationship Id="rId20" Type="http://schemas.openxmlformats.org/officeDocument/2006/relationships/hyperlink" Target="https://sustainabledevelopment.un.org/sdgs" TargetMode="External"/><Relationship Id="rId29" Type="http://schemas.openxmlformats.org/officeDocument/2006/relationships/hyperlink" Target="http://www.forextradingaustralia.com.au/utilizing-economic-calenda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dp.org/content/undp/en/home/sdgoverview/mdg_goals.html" TargetMode="External"/><Relationship Id="rId24" Type="http://schemas.openxmlformats.org/officeDocument/2006/relationships/hyperlink" Target="https://sustainabledevelopment.un.org/outcomedocuments/agenda2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Gender_equality" TargetMode="External"/><Relationship Id="rId23" Type="http://schemas.openxmlformats.org/officeDocument/2006/relationships/image" Target="media/image3.jpeg"/><Relationship Id="rId28" Type="http://schemas.openxmlformats.org/officeDocument/2006/relationships/hyperlink" Target="http://www.neda.gov.ph/wp-content/uploads/2013/09/CHAPTER-10.pdf" TargetMode="External"/><Relationship Id="rId10" Type="http://schemas.openxmlformats.org/officeDocument/2006/relationships/hyperlink" Target="http://www.un.org/milleniumgoals/" TargetMode="External"/><Relationship Id="rId19" Type="http://schemas.openxmlformats.org/officeDocument/2006/relationships/hyperlink" Target="https://en.wikipedia.org/wiki/Malari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n.wikipedia.org/wiki/Universal_primary_education" TargetMode="External"/><Relationship Id="rId22" Type="http://schemas.openxmlformats.org/officeDocument/2006/relationships/hyperlink" Target="http://www.undp.org/content/undp/en/home/sdgoverview/post-2015-development-agenda.html" TargetMode="External"/><Relationship Id="rId27" Type="http://schemas.openxmlformats.org/officeDocument/2006/relationships/hyperlink" Target="http://www.neda.gov.ph/2013/10/21/philippine-development-plan-2011-2016/"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08AD7-ED86-4867-A620-C7CBBD99D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Pages>
  <Words>1989</Words>
  <Characters>11340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Reymos</dc:creator>
  <cp:lastModifiedBy>Reymos</cp:lastModifiedBy>
  <cp:revision>13</cp:revision>
  <cp:lastPrinted>2016-06-28T03:10:00Z</cp:lastPrinted>
  <dcterms:created xsi:type="dcterms:W3CDTF">2016-06-28T00:24:00Z</dcterms:created>
  <dcterms:modified xsi:type="dcterms:W3CDTF">2016-06-28T04:33:00Z</dcterms:modified>
</cp:coreProperties>
</file>