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Pr="00BB275C" w:rsidRDefault="00BD127D" w:rsidP="00F458D4">
      <w:pPr>
        <w:spacing w:after="0"/>
        <w:jc w:val="center"/>
        <w:rPr>
          <w:rFonts w:asciiTheme="majorHAnsi" w:hAnsiTheme="majorHAnsi"/>
          <w:b/>
        </w:rPr>
      </w:pPr>
      <w:r w:rsidRPr="00BB275C">
        <w:rPr>
          <w:rFonts w:asciiTheme="majorHAnsi" w:hAnsiTheme="majorHAnsi"/>
          <w:b/>
          <w:noProof/>
          <w:lang w:eastAsia="en-PH"/>
        </w:rPr>
        <w:drawing>
          <wp:anchor distT="0" distB="0" distL="114300" distR="114300" simplePos="0" relativeHeight="251657728"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sidRPr="00BB275C">
        <w:rPr>
          <w:rFonts w:asciiTheme="majorHAnsi" w:hAnsiTheme="majorHAnsi"/>
          <w:b/>
          <w:noProof/>
          <w:lang w:eastAsia="en-PH"/>
        </w:rPr>
        <w:drawing>
          <wp:anchor distT="0" distB="0" distL="114300" distR="114300" simplePos="0" relativeHeight="251656704"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BB275C">
        <w:rPr>
          <w:rFonts w:asciiTheme="majorHAnsi" w:hAnsiTheme="majorHAnsi"/>
          <w:b/>
        </w:rPr>
        <w:t>ROMBLON STATE UNIVERSITY</w:t>
      </w:r>
    </w:p>
    <w:p w:rsidR="0039636D" w:rsidRPr="00BB275C" w:rsidRDefault="0039636D" w:rsidP="00F458D4">
      <w:pPr>
        <w:spacing w:after="0"/>
        <w:jc w:val="center"/>
        <w:rPr>
          <w:rFonts w:asciiTheme="majorHAnsi" w:hAnsiTheme="majorHAnsi"/>
          <w:b/>
        </w:rPr>
      </w:pPr>
      <w:r w:rsidRPr="00BB275C">
        <w:rPr>
          <w:rFonts w:asciiTheme="majorHAnsi" w:hAnsiTheme="majorHAnsi"/>
          <w:b/>
        </w:rPr>
        <w:t>College of Engineering and Technology</w:t>
      </w:r>
    </w:p>
    <w:p w:rsidR="00F458D4" w:rsidRPr="00BB275C" w:rsidRDefault="00F458D4" w:rsidP="00F458D4">
      <w:pPr>
        <w:spacing w:after="0"/>
        <w:jc w:val="center"/>
        <w:rPr>
          <w:rFonts w:asciiTheme="majorHAnsi" w:hAnsiTheme="majorHAnsi"/>
          <w:b/>
        </w:rPr>
      </w:pPr>
      <w:r w:rsidRPr="00BB275C">
        <w:rPr>
          <w:rFonts w:asciiTheme="majorHAnsi" w:hAnsiTheme="majorHAnsi"/>
          <w:b/>
        </w:rPr>
        <w:t>Main Campus, Odiongan, Province of Romblon</w:t>
      </w:r>
    </w:p>
    <w:p w:rsidR="00F458D4" w:rsidRPr="00BB275C" w:rsidRDefault="00F458D4" w:rsidP="00F458D4">
      <w:pPr>
        <w:spacing w:after="0"/>
        <w:rPr>
          <w:rFonts w:asciiTheme="majorHAnsi" w:hAnsiTheme="majorHAnsi"/>
        </w:rPr>
      </w:pPr>
    </w:p>
    <w:p w:rsidR="00040A4D" w:rsidRPr="0000252C" w:rsidRDefault="00D812C0" w:rsidP="002E7101">
      <w:pPr>
        <w:spacing w:after="0"/>
        <w:jc w:val="center"/>
        <w:rPr>
          <w:b/>
        </w:rPr>
      </w:pPr>
      <w:r w:rsidRPr="0000252C">
        <w:rPr>
          <w:b/>
        </w:rPr>
        <w:t>HANDOUT #4</w:t>
      </w:r>
    </w:p>
    <w:p w:rsidR="0039636D" w:rsidRPr="0000252C" w:rsidRDefault="0039636D" w:rsidP="0039636D">
      <w:pPr>
        <w:spacing w:after="0"/>
        <w:rPr>
          <w:b/>
        </w:rPr>
      </w:pPr>
    </w:p>
    <w:p w:rsidR="007C4687" w:rsidRPr="0000252C" w:rsidRDefault="007C4687" w:rsidP="007C4687">
      <w:pPr>
        <w:spacing w:after="0"/>
        <w:rPr>
          <w:b/>
        </w:rPr>
      </w:pPr>
      <w:r w:rsidRPr="0000252C">
        <w:rPr>
          <w:b/>
        </w:rPr>
        <w:t>CE4113 ENVIRONMENTAL ENGINEERING</w:t>
      </w:r>
      <w:r w:rsidRPr="0000252C">
        <w:rPr>
          <w:b/>
        </w:rPr>
        <w:tab/>
      </w:r>
      <w:r w:rsidRPr="0000252C">
        <w:rPr>
          <w:b/>
        </w:rPr>
        <w:tab/>
      </w:r>
      <w:r w:rsidRPr="0000252C">
        <w:rPr>
          <w:b/>
        </w:rPr>
        <w:tab/>
      </w:r>
      <w:r w:rsidRPr="0000252C">
        <w:rPr>
          <w:b/>
        </w:rPr>
        <w:tab/>
      </w:r>
      <w:r w:rsidRPr="0000252C">
        <w:rPr>
          <w:b/>
        </w:rPr>
        <w:tab/>
        <w:t>MW: 10-11:30; TTH: 10-11:30AM</w:t>
      </w:r>
    </w:p>
    <w:p w:rsidR="007C4687" w:rsidRPr="0000252C" w:rsidRDefault="007C4687" w:rsidP="007C4687">
      <w:pPr>
        <w:spacing w:after="0"/>
        <w:rPr>
          <w:b/>
        </w:rPr>
      </w:pPr>
      <w:r w:rsidRPr="0000252C">
        <w:rPr>
          <w:b/>
        </w:rPr>
        <w:t>Engr. Reynaldo P Ramos, PhD</w:t>
      </w:r>
      <w:r w:rsidRPr="0000252C">
        <w:rPr>
          <w:b/>
        </w:rPr>
        <w:tab/>
      </w:r>
      <w:r w:rsidRPr="0000252C">
        <w:rPr>
          <w:b/>
        </w:rPr>
        <w:tab/>
      </w:r>
      <w:r w:rsidRPr="0000252C">
        <w:rPr>
          <w:b/>
        </w:rPr>
        <w:tab/>
      </w:r>
      <w:r w:rsidRPr="0000252C">
        <w:rPr>
          <w:b/>
        </w:rPr>
        <w:tab/>
      </w:r>
      <w:r w:rsidRPr="0000252C">
        <w:rPr>
          <w:b/>
        </w:rPr>
        <w:tab/>
      </w:r>
      <w:r w:rsidRPr="0000252C">
        <w:rPr>
          <w:b/>
        </w:rPr>
        <w:tab/>
      </w:r>
      <w:r w:rsidRPr="0000252C">
        <w:rPr>
          <w:b/>
        </w:rPr>
        <w:tab/>
        <w:t xml:space="preserve">MF: 4-5:30; TTH: 4-5:30PM </w:t>
      </w:r>
    </w:p>
    <w:p w:rsidR="007C4687" w:rsidRPr="0000252C" w:rsidRDefault="007C4687" w:rsidP="0039636D">
      <w:pPr>
        <w:spacing w:after="0"/>
        <w:rPr>
          <w:b/>
        </w:rPr>
      </w:pPr>
    </w:p>
    <w:p w:rsidR="009C2B83" w:rsidRPr="0000252C" w:rsidRDefault="005F1029" w:rsidP="00481900">
      <w:pPr>
        <w:pStyle w:val="ListParagraph"/>
        <w:numPr>
          <w:ilvl w:val="0"/>
          <w:numId w:val="28"/>
        </w:numPr>
        <w:spacing w:after="0"/>
        <w:rPr>
          <w:b/>
        </w:rPr>
      </w:pPr>
      <w:r w:rsidRPr="0000252C">
        <w:rPr>
          <w:b/>
        </w:rPr>
        <w:t>SUSTAINABILITY AND CRADLE-TO-CRADLE DESIGN</w:t>
      </w:r>
    </w:p>
    <w:p w:rsidR="00481900" w:rsidRPr="0000252C" w:rsidRDefault="00481900" w:rsidP="005F1029">
      <w:pPr>
        <w:pStyle w:val="NoSpacing"/>
        <w:tabs>
          <w:tab w:val="left" w:pos="2676"/>
        </w:tabs>
        <w:jc w:val="both"/>
        <w:rPr>
          <w:rFonts w:cs="Tahoma"/>
          <w:b/>
        </w:rPr>
      </w:pPr>
    </w:p>
    <w:p w:rsidR="005F1029" w:rsidRPr="0000252C" w:rsidRDefault="005F1029" w:rsidP="005F1029">
      <w:pPr>
        <w:pStyle w:val="NoSpacing"/>
        <w:tabs>
          <w:tab w:val="left" w:pos="2676"/>
        </w:tabs>
        <w:jc w:val="both"/>
        <w:rPr>
          <w:rFonts w:cs="Tahoma"/>
        </w:rPr>
      </w:pPr>
      <w:r w:rsidRPr="0000252C">
        <w:rPr>
          <w:rFonts w:cs="Tahoma"/>
          <w:b/>
        </w:rPr>
        <w:t xml:space="preserve">Sustainable Materials Management (SMM) </w:t>
      </w:r>
      <w:r w:rsidRPr="0000252C">
        <w:rPr>
          <w:rFonts w:cs="Tahoma"/>
        </w:rPr>
        <w:t>– an approach to promote sustainable materials use, integrating actions targeted at reducing negative environmental impacts and preserving natural capital throughout the life-cycle of materials, taking into account economic efficiency and social equity.</w:t>
      </w:r>
    </w:p>
    <w:p w:rsidR="005F1029" w:rsidRPr="0000252C" w:rsidRDefault="005F1029" w:rsidP="005F1029">
      <w:pPr>
        <w:pStyle w:val="NoSpacing"/>
        <w:tabs>
          <w:tab w:val="left" w:pos="2676"/>
        </w:tabs>
        <w:jc w:val="both"/>
        <w:rPr>
          <w:rFonts w:cs="Tahoma"/>
        </w:rPr>
      </w:pPr>
    </w:p>
    <w:p w:rsidR="005F1029" w:rsidRPr="0000252C" w:rsidRDefault="005F1029" w:rsidP="005F1029">
      <w:pPr>
        <w:pStyle w:val="NoSpacing"/>
        <w:tabs>
          <w:tab w:val="left" w:pos="2676"/>
        </w:tabs>
        <w:jc w:val="both"/>
        <w:rPr>
          <w:rFonts w:cs="Tahoma"/>
          <w:b/>
        </w:rPr>
      </w:pPr>
      <w:r w:rsidRPr="0000252C">
        <w:rPr>
          <w:rFonts w:cs="Tahoma"/>
          <w:b/>
        </w:rPr>
        <w:t>Framework for Sustainability</w:t>
      </w:r>
    </w:p>
    <w:p w:rsidR="005F1029" w:rsidRPr="0000252C" w:rsidRDefault="005F1029" w:rsidP="005F1029">
      <w:pPr>
        <w:pStyle w:val="NoSpacing"/>
        <w:tabs>
          <w:tab w:val="left" w:pos="2676"/>
        </w:tabs>
        <w:jc w:val="both"/>
        <w:rPr>
          <w:rFonts w:cs="Tahoma"/>
        </w:rPr>
      </w:pPr>
      <w:r w:rsidRPr="0000252C">
        <w:rPr>
          <w:rFonts w:cs="Tahoma"/>
        </w:rPr>
        <w:t>It is also called as “The Natural Step” – a framework that provides a set of four system conditions that define a sustainable society based on the laws of thermodynamics and natural cycle. This also considers that the Earth as a closed system for materials and as an open system for energy that sustains life through a complex interactive network of material cycles that uses solar energy to counteract the tendency of materials to dissipate and otherwise increase in entropy.</w:t>
      </w:r>
    </w:p>
    <w:p w:rsidR="005F1029" w:rsidRPr="0000252C" w:rsidRDefault="005F1029" w:rsidP="005F1029">
      <w:pPr>
        <w:pStyle w:val="NoSpacing"/>
        <w:tabs>
          <w:tab w:val="left" w:pos="2676"/>
        </w:tabs>
        <w:jc w:val="both"/>
        <w:rPr>
          <w:rFonts w:cs="Tahoma"/>
        </w:rPr>
      </w:pPr>
    </w:p>
    <w:p w:rsidR="005F1029" w:rsidRPr="0000252C" w:rsidRDefault="005F1029" w:rsidP="005F1029">
      <w:pPr>
        <w:pStyle w:val="NoSpacing"/>
        <w:numPr>
          <w:ilvl w:val="0"/>
          <w:numId w:val="26"/>
        </w:numPr>
        <w:tabs>
          <w:tab w:val="left" w:pos="2676"/>
        </w:tabs>
        <w:jc w:val="both"/>
        <w:rPr>
          <w:rFonts w:cs="Tahoma"/>
        </w:rPr>
      </w:pPr>
      <w:r w:rsidRPr="0000252C">
        <w:rPr>
          <w:rFonts w:cs="Tahoma"/>
          <w:i/>
        </w:rPr>
        <w:t>Extracting concentration of substances from the Earth’s crust</w:t>
      </w:r>
      <w:r w:rsidRPr="0000252C">
        <w:rPr>
          <w:rFonts w:cs="Tahoma"/>
        </w:rPr>
        <w:t xml:space="preserve"> – condition that refers to the extraction of minerals and fossil fuels which these substances are scarce and should be substituted with those that are more abundant. It should be used efficiently and recycled, and dependence on fossil fuels should be systematically reduced.</w:t>
      </w:r>
    </w:p>
    <w:p w:rsidR="005F1029" w:rsidRPr="0000252C" w:rsidRDefault="005F1029" w:rsidP="005F1029">
      <w:pPr>
        <w:pStyle w:val="NoSpacing"/>
        <w:numPr>
          <w:ilvl w:val="0"/>
          <w:numId w:val="26"/>
        </w:numPr>
        <w:tabs>
          <w:tab w:val="left" w:pos="2676"/>
        </w:tabs>
        <w:jc w:val="both"/>
        <w:rPr>
          <w:rFonts w:cs="Tahoma"/>
        </w:rPr>
      </w:pPr>
      <w:r w:rsidRPr="0000252C">
        <w:rPr>
          <w:rFonts w:cs="Tahoma"/>
          <w:i/>
        </w:rPr>
        <w:t>Building up concentrations of human-made compounds in nature</w:t>
      </w:r>
      <w:r w:rsidRPr="0000252C">
        <w:rPr>
          <w:rFonts w:cs="Tahoma"/>
        </w:rPr>
        <w:t xml:space="preserve"> – condition that refers to the manufacture of persistent and unnatural compound which should be replaced with those that are abundant and or that break down completely and easily in nature. All substances produced should be used efficiently.</w:t>
      </w:r>
    </w:p>
    <w:p w:rsidR="005F1029" w:rsidRPr="0000252C" w:rsidRDefault="005F1029" w:rsidP="005F1029">
      <w:pPr>
        <w:pStyle w:val="NoSpacing"/>
        <w:numPr>
          <w:ilvl w:val="0"/>
          <w:numId w:val="26"/>
        </w:numPr>
        <w:tabs>
          <w:tab w:val="left" w:pos="2676"/>
        </w:tabs>
        <w:jc w:val="both"/>
        <w:rPr>
          <w:rFonts w:cs="Tahoma"/>
        </w:rPr>
      </w:pPr>
      <w:r w:rsidRPr="0000252C">
        <w:rPr>
          <w:rFonts w:cs="Tahoma"/>
          <w:i/>
        </w:rPr>
        <w:t>Utilizing renewable resources at rates faster than they are regenerated and reducing the productive capacity of nature</w:t>
      </w:r>
      <w:r w:rsidRPr="0000252C">
        <w:rPr>
          <w:rFonts w:cs="Tahoma"/>
        </w:rPr>
        <w:t xml:space="preserve"> – condition refers to the use of natural resources which should be drawn only from well managed ecosystems for productive and sustainable uses.</w:t>
      </w:r>
    </w:p>
    <w:p w:rsidR="00185E07" w:rsidRPr="0000252C" w:rsidRDefault="005F1029" w:rsidP="005F1029">
      <w:pPr>
        <w:pStyle w:val="NoSpacing"/>
        <w:numPr>
          <w:ilvl w:val="0"/>
          <w:numId w:val="26"/>
        </w:numPr>
        <w:tabs>
          <w:tab w:val="left" w:pos="2676"/>
        </w:tabs>
        <w:jc w:val="both"/>
        <w:rPr>
          <w:rFonts w:cs="Tahoma"/>
        </w:rPr>
      </w:pPr>
      <w:r w:rsidRPr="0000252C">
        <w:rPr>
          <w:rFonts w:cs="Tahoma"/>
          <w:i/>
        </w:rPr>
        <w:t>People are able to meet their needs worldwide</w:t>
      </w:r>
      <w:r w:rsidRPr="0000252C">
        <w:rPr>
          <w:rFonts w:cs="Tahoma"/>
        </w:rPr>
        <w:t xml:space="preserve"> – condition means using all the resources efficiently, effectively, fairly, and responsibly for the use of future generation.</w:t>
      </w:r>
    </w:p>
    <w:p w:rsidR="00185E07" w:rsidRPr="0000252C" w:rsidRDefault="00185E07" w:rsidP="00185E07">
      <w:pPr>
        <w:pStyle w:val="NoSpacing"/>
        <w:tabs>
          <w:tab w:val="left" w:pos="2676"/>
        </w:tabs>
        <w:jc w:val="both"/>
        <w:rPr>
          <w:rFonts w:cs="Tahoma"/>
        </w:rPr>
      </w:pPr>
    </w:p>
    <w:p w:rsidR="00185E07" w:rsidRPr="0000252C" w:rsidRDefault="00185E07" w:rsidP="00185E07">
      <w:pPr>
        <w:pStyle w:val="NoSpacing"/>
        <w:tabs>
          <w:tab w:val="left" w:pos="2676"/>
        </w:tabs>
        <w:jc w:val="both"/>
        <w:rPr>
          <w:rFonts w:cs="Tahoma"/>
          <w:b/>
        </w:rPr>
      </w:pPr>
      <w:r w:rsidRPr="0000252C">
        <w:rPr>
          <w:rFonts w:cs="Tahoma"/>
          <w:b/>
        </w:rPr>
        <w:t>Cradle-to-cradle Design</w:t>
      </w:r>
    </w:p>
    <w:p w:rsidR="00BA74E7" w:rsidRPr="0000252C" w:rsidRDefault="00185E07" w:rsidP="00185E07">
      <w:pPr>
        <w:pStyle w:val="NoSpacing"/>
        <w:tabs>
          <w:tab w:val="left" w:pos="2676"/>
        </w:tabs>
        <w:jc w:val="both"/>
        <w:rPr>
          <w:rFonts w:cs="Tahoma"/>
        </w:rPr>
      </w:pPr>
      <w:r w:rsidRPr="0000252C">
        <w:rPr>
          <w:rFonts w:cs="Tahoma"/>
        </w:rPr>
        <w:t>It is the same concept to the design of human industry. The key principle is just as in natural systems where one organism’s waste becomes food for another. It is also defines two metabolisms within which materials are conceived as nutrients circulating benignly and productively through metabolisms: biological nutrients within biological metabolism, and technical nutrients cycle within technical metabolisms.</w:t>
      </w:r>
    </w:p>
    <w:p w:rsidR="00185E07" w:rsidRPr="0000252C" w:rsidRDefault="00185E07" w:rsidP="00185E07">
      <w:pPr>
        <w:pStyle w:val="NoSpacing"/>
        <w:tabs>
          <w:tab w:val="left" w:pos="2676"/>
        </w:tabs>
        <w:jc w:val="both"/>
        <w:rPr>
          <w:rFonts w:cs="Tahoma"/>
        </w:rPr>
      </w:pPr>
    </w:p>
    <w:p w:rsidR="00185E07" w:rsidRPr="0000252C" w:rsidRDefault="00185E07" w:rsidP="00185E07">
      <w:pPr>
        <w:pStyle w:val="NoSpacing"/>
        <w:tabs>
          <w:tab w:val="left" w:pos="2676"/>
        </w:tabs>
        <w:jc w:val="both"/>
        <w:rPr>
          <w:rFonts w:cs="Tahoma"/>
        </w:rPr>
      </w:pPr>
      <w:r w:rsidRPr="0000252C">
        <w:rPr>
          <w:rFonts w:cs="Tahoma"/>
        </w:rPr>
        <w:t>Three design principles are:</w:t>
      </w:r>
    </w:p>
    <w:p w:rsidR="00185E07" w:rsidRPr="0000252C" w:rsidRDefault="00185E07" w:rsidP="00185E07">
      <w:pPr>
        <w:pStyle w:val="NoSpacing"/>
        <w:numPr>
          <w:ilvl w:val="0"/>
          <w:numId w:val="27"/>
        </w:numPr>
        <w:tabs>
          <w:tab w:val="left" w:pos="2676"/>
        </w:tabs>
        <w:jc w:val="both"/>
        <w:rPr>
          <w:rFonts w:cs="Tahoma"/>
        </w:rPr>
      </w:pPr>
      <w:r w:rsidRPr="0000252C">
        <w:rPr>
          <w:rFonts w:cs="Tahoma"/>
        </w:rPr>
        <w:t>Use of current solar income – harnessing solar energy directly and indirectly for human purposes</w:t>
      </w:r>
    </w:p>
    <w:p w:rsidR="00185E07" w:rsidRPr="0000252C" w:rsidRDefault="00185E07" w:rsidP="00185E07">
      <w:pPr>
        <w:pStyle w:val="NoSpacing"/>
        <w:numPr>
          <w:ilvl w:val="0"/>
          <w:numId w:val="27"/>
        </w:numPr>
        <w:tabs>
          <w:tab w:val="left" w:pos="2676"/>
        </w:tabs>
        <w:jc w:val="both"/>
        <w:rPr>
          <w:rFonts w:cs="Tahoma"/>
        </w:rPr>
      </w:pPr>
      <w:r w:rsidRPr="0000252C">
        <w:rPr>
          <w:rFonts w:cs="Tahoma"/>
        </w:rPr>
        <w:t>Celebrate diversity – development of diverse products fitting for different preferences, cultures, ecosystems, and geographies.</w:t>
      </w:r>
    </w:p>
    <w:p w:rsidR="00185E07" w:rsidRPr="0000252C" w:rsidRDefault="00185E07" w:rsidP="00185E07">
      <w:pPr>
        <w:pStyle w:val="NoSpacing"/>
        <w:numPr>
          <w:ilvl w:val="0"/>
          <w:numId w:val="27"/>
        </w:numPr>
        <w:tabs>
          <w:tab w:val="left" w:pos="2676"/>
        </w:tabs>
        <w:jc w:val="both"/>
        <w:rPr>
          <w:rFonts w:cs="Tahoma"/>
        </w:rPr>
      </w:pPr>
      <w:r w:rsidRPr="0000252C">
        <w:rPr>
          <w:rFonts w:cs="Tahoma"/>
        </w:rPr>
        <w:t>Waste equals food – no waste in nature; human system can be designed to circulate materials productively to eliminate generation of waste.</w:t>
      </w:r>
    </w:p>
    <w:p w:rsidR="00185E07" w:rsidRPr="0000252C" w:rsidRDefault="00185E07" w:rsidP="00185E07">
      <w:pPr>
        <w:pStyle w:val="NoSpacing"/>
        <w:tabs>
          <w:tab w:val="left" w:pos="2676"/>
        </w:tabs>
        <w:jc w:val="both"/>
        <w:rPr>
          <w:rFonts w:cs="Tahoma"/>
        </w:rPr>
      </w:pPr>
    </w:p>
    <w:p w:rsidR="00185E07" w:rsidRPr="0000252C" w:rsidRDefault="00185E07" w:rsidP="00185E07">
      <w:pPr>
        <w:pStyle w:val="NoSpacing"/>
        <w:tabs>
          <w:tab w:val="left" w:pos="2676"/>
        </w:tabs>
        <w:jc w:val="both"/>
        <w:rPr>
          <w:rFonts w:cs="Tahoma"/>
        </w:rPr>
      </w:pPr>
    </w:p>
    <w:p w:rsidR="00BB275C" w:rsidRPr="0000252C" w:rsidRDefault="00BB275C" w:rsidP="00185E07">
      <w:pPr>
        <w:pStyle w:val="NoSpacing"/>
        <w:tabs>
          <w:tab w:val="left" w:pos="2676"/>
        </w:tabs>
        <w:jc w:val="both"/>
        <w:rPr>
          <w:rFonts w:cs="Tahoma"/>
        </w:rPr>
      </w:pPr>
    </w:p>
    <w:p w:rsidR="00BB275C" w:rsidRPr="0000252C" w:rsidRDefault="00BB275C" w:rsidP="00185E07">
      <w:pPr>
        <w:pStyle w:val="NoSpacing"/>
        <w:tabs>
          <w:tab w:val="left" w:pos="2676"/>
        </w:tabs>
        <w:jc w:val="both"/>
        <w:rPr>
          <w:rFonts w:cs="Tahoma"/>
        </w:rPr>
      </w:pPr>
    </w:p>
    <w:p w:rsidR="00481900" w:rsidRPr="0000252C" w:rsidRDefault="00481900" w:rsidP="00185E07">
      <w:pPr>
        <w:pStyle w:val="NoSpacing"/>
        <w:tabs>
          <w:tab w:val="left" w:pos="2676"/>
        </w:tabs>
        <w:jc w:val="both"/>
        <w:rPr>
          <w:rFonts w:cs="Tahoma"/>
        </w:rPr>
      </w:pPr>
    </w:p>
    <w:p w:rsidR="00185E07" w:rsidRPr="0000252C" w:rsidRDefault="00185E07" w:rsidP="00481900">
      <w:pPr>
        <w:pStyle w:val="NoSpacing"/>
        <w:numPr>
          <w:ilvl w:val="0"/>
          <w:numId w:val="28"/>
        </w:numPr>
        <w:tabs>
          <w:tab w:val="left" w:pos="2676"/>
        </w:tabs>
        <w:jc w:val="both"/>
        <w:rPr>
          <w:rFonts w:cs="Tahoma"/>
          <w:b/>
        </w:rPr>
      </w:pPr>
      <w:r w:rsidRPr="0000252C">
        <w:rPr>
          <w:rFonts w:cs="Tahoma"/>
          <w:b/>
        </w:rPr>
        <w:t>ENGINEERING DECISIONS</w:t>
      </w:r>
    </w:p>
    <w:p w:rsidR="00481900" w:rsidRPr="0000252C" w:rsidRDefault="00481900" w:rsidP="00185E07">
      <w:pPr>
        <w:pStyle w:val="NoSpacing"/>
        <w:tabs>
          <w:tab w:val="left" w:pos="2676"/>
        </w:tabs>
        <w:jc w:val="both"/>
        <w:rPr>
          <w:rFonts w:cs="Tahoma"/>
          <w:b/>
        </w:rPr>
      </w:pPr>
    </w:p>
    <w:p w:rsidR="00BA74E7" w:rsidRPr="0000252C" w:rsidRDefault="00481900" w:rsidP="00BA74E7">
      <w:pPr>
        <w:pStyle w:val="NoSpacing"/>
        <w:jc w:val="both"/>
        <w:rPr>
          <w:rFonts w:cs="Tahoma"/>
          <w:i/>
        </w:rPr>
      </w:pPr>
      <w:r w:rsidRPr="0000252C">
        <w:rPr>
          <w:rFonts w:cs="Tahoma"/>
          <w:i/>
        </w:rPr>
        <w:t>“Environmental engineers have the immense responsibility of protecting both humans and the environment. Our decisions directly and indirectly affect lives and ecosystems, so we must take into consideration a multitude of factors when making decisions.”</w:t>
      </w:r>
    </w:p>
    <w:p w:rsidR="00481900" w:rsidRPr="0000252C" w:rsidRDefault="00481900" w:rsidP="00BA74E7">
      <w:pPr>
        <w:pStyle w:val="NoSpacing"/>
        <w:jc w:val="both"/>
        <w:rPr>
          <w:rFonts w:cs="Tahoma"/>
        </w:rPr>
      </w:pPr>
    </w:p>
    <w:p w:rsidR="00481900" w:rsidRPr="0000252C" w:rsidRDefault="00481900" w:rsidP="00BA74E7">
      <w:pPr>
        <w:pStyle w:val="NoSpacing"/>
        <w:jc w:val="both"/>
        <w:rPr>
          <w:rFonts w:cs="Tahoma"/>
        </w:rPr>
      </w:pPr>
      <w:r w:rsidRPr="0000252C">
        <w:rPr>
          <w:rFonts w:cs="Tahoma"/>
        </w:rPr>
        <w:t xml:space="preserve">The implementation of any engineering project – large or small entails series of decisions made by engineers. The potential to harm thousands at a time through incorrectly designed systems by engineers is inevitable. </w:t>
      </w:r>
    </w:p>
    <w:p w:rsidR="00481900" w:rsidRPr="0000252C" w:rsidRDefault="00481900" w:rsidP="00BA74E7">
      <w:pPr>
        <w:pStyle w:val="NoSpacing"/>
        <w:jc w:val="both"/>
        <w:rPr>
          <w:rFonts w:cs="Tahoma"/>
        </w:rPr>
      </w:pPr>
    </w:p>
    <w:p w:rsidR="00481900" w:rsidRPr="0000252C" w:rsidRDefault="00481900" w:rsidP="00481900">
      <w:pPr>
        <w:pStyle w:val="NoSpacing"/>
        <w:numPr>
          <w:ilvl w:val="0"/>
          <w:numId w:val="29"/>
        </w:numPr>
        <w:jc w:val="both"/>
        <w:rPr>
          <w:rFonts w:cs="Tahoma"/>
        </w:rPr>
      </w:pPr>
      <w:r w:rsidRPr="0000252C">
        <w:rPr>
          <w:rFonts w:cs="Tahoma"/>
        </w:rPr>
        <w:t>Decisions based on  technical analyses</w:t>
      </w:r>
      <w:r w:rsidR="008555DC">
        <w:rPr>
          <w:rFonts w:cs="Tahoma"/>
        </w:rPr>
        <w:t xml:space="preserve"> – design, specifications, technical data/information</w:t>
      </w:r>
    </w:p>
    <w:p w:rsidR="00481900" w:rsidRPr="0000252C" w:rsidRDefault="00481900" w:rsidP="00481900">
      <w:pPr>
        <w:pStyle w:val="NoSpacing"/>
        <w:numPr>
          <w:ilvl w:val="0"/>
          <w:numId w:val="29"/>
        </w:numPr>
        <w:jc w:val="both"/>
        <w:rPr>
          <w:rFonts w:cs="Tahoma"/>
        </w:rPr>
      </w:pPr>
      <w:r w:rsidRPr="0000252C">
        <w:rPr>
          <w:rFonts w:cs="Tahoma"/>
        </w:rPr>
        <w:t>Decisions based on cost-effectiveness analyses</w:t>
      </w:r>
      <w:r w:rsidR="008555DC">
        <w:rPr>
          <w:rFonts w:cs="Tahoma"/>
        </w:rPr>
        <w:t xml:space="preserve"> – annual  cost, present worth, capital cost, interest, capital recovery factor</w:t>
      </w:r>
    </w:p>
    <w:p w:rsidR="00481900" w:rsidRPr="0000252C" w:rsidRDefault="00481900" w:rsidP="00481900">
      <w:pPr>
        <w:pStyle w:val="NoSpacing"/>
        <w:numPr>
          <w:ilvl w:val="0"/>
          <w:numId w:val="29"/>
        </w:numPr>
        <w:jc w:val="both"/>
        <w:rPr>
          <w:rFonts w:cs="Tahoma"/>
        </w:rPr>
      </w:pPr>
      <w:r w:rsidRPr="0000252C">
        <w:rPr>
          <w:rFonts w:cs="Tahoma"/>
        </w:rPr>
        <w:t>Decisions based on benefit/cost analyses</w:t>
      </w:r>
      <w:r w:rsidR="0000252C">
        <w:rPr>
          <w:rFonts w:cs="Tahoma"/>
        </w:rPr>
        <w:t xml:space="preserve"> </w:t>
      </w:r>
      <w:r w:rsidR="008555DC">
        <w:rPr>
          <w:rFonts w:cs="Tahoma"/>
        </w:rPr>
        <w:t>–</w:t>
      </w:r>
      <w:r w:rsidR="0000252C">
        <w:rPr>
          <w:rFonts w:cs="Tahoma"/>
        </w:rPr>
        <w:t xml:space="preserve"> </w:t>
      </w:r>
      <w:r w:rsidR="008555DC">
        <w:rPr>
          <w:rFonts w:cs="Tahoma"/>
        </w:rPr>
        <w:t>Ratio between benefit and cost is more than 1.0, monetary values</w:t>
      </w:r>
    </w:p>
    <w:p w:rsidR="00481900" w:rsidRPr="0000252C" w:rsidRDefault="00481900" w:rsidP="00481900">
      <w:pPr>
        <w:pStyle w:val="NoSpacing"/>
        <w:numPr>
          <w:ilvl w:val="0"/>
          <w:numId w:val="29"/>
        </w:numPr>
        <w:jc w:val="both"/>
        <w:rPr>
          <w:rFonts w:cs="Tahoma"/>
        </w:rPr>
      </w:pPr>
      <w:r w:rsidRPr="0000252C">
        <w:rPr>
          <w:rFonts w:cs="Tahoma"/>
        </w:rPr>
        <w:t>Decisions based on risk analyses</w:t>
      </w:r>
      <w:r w:rsidR="0000252C">
        <w:rPr>
          <w:rFonts w:cs="Tahoma"/>
        </w:rPr>
        <w:t xml:space="preserve"> – life and health, hazards,  mortality (deaths)</w:t>
      </w:r>
    </w:p>
    <w:p w:rsidR="00481900" w:rsidRPr="0000252C" w:rsidRDefault="00481900" w:rsidP="00481900">
      <w:pPr>
        <w:pStyle w:val="NoSpacing"/>
        <w:numPr>
          <w:ilvl w:val="0"/>
          <w:numId w:val="29"/>
        </w:numPr>
        <w:jc w:val="both"/>
        <w:rPr>
          <w:rFonts w:cs="Tahoma"/>
        </w:rPr>
      </w:pPr>
      <w:r w:rsidRPr="0000252C">
        <w:rPr>
          <w:rFonts w:cs="Tahoma"/>
        </w:rPr>
        <w:t>Decisions based on alternatives assessment – green chemistry and green engineering; benchmarking</w:t>
      </w:r>
    </w:p>
    <w:p w:rsidR="00481900" w:rsidRPr="0000252C" w:rsidRDefault="00481900" w:rsidP="00481900">
      <w:pPr>
        <w:pStyle w:val="NoSpacing"/>
        <w:numPr>
          <w:ilvl w:val="0"/>
          <w:numId w:val="29"/>
        </w:numPr>
        <w:jc w:val="both"/>
        <w:rPr>
          <w:rFonts w:cs="Tahoma"/>
        </w:rPr>
      </w:pPr>
      <w:r w:rsidRPr="0000252C">
        <w:rPr>
          <w:rFonts w:cs="Tahoma"/>
        </w:rPr>
        <w:t>Decisions based on environmental impact analyses</w:t>
      </w:r>
      <w:r w:rsidR="0000252C">
        <w:rPr>
          <w:rFonts w:cs="Tahoma"/>
        </w:rPr>
        <w:t xml:space="preserve"> – identify potential impacts to the environment (importance, magnitude, and nature (either positive or negative effect)</w:t>
      </w:r>
    </w:p>
    <w:p w:rsidR="00481900" w:rsidRPr="0000252C" w:rsidRDefault="00481900" w:rsidP="00481900">
      <w:pPr>
        <w:pStyle w:val="NoSpacing"/>
        <w:numPr>
          <w:ilvl w:val="0"/>
          <w:numId w:val="29"/>
        </w:numPr>
        <w:jc w:val="both"/>
        <w:rPr>
          <w:rFonts w:cs="Tahoma"/>
        </w:rPr>
      </w:pPr>
      <w:r w:rsidRPr="0000252C">
        <w:rPr>
          <w:rFonts w:cs="Tahoma"/>
        </w:rPr>
        <w:t xml:space="preserve">Decisions based on ethical </w:t>
      </w:r>
      <w:r w:rsidR="0000252C">
        <w:rPr>
          <w:rFonts w:cs="Tahoma"/>
        </w:rPr>
        <w:t>analyses – environmental ethics, values and spirituality</w:t>
      </w:r>
    </w:p>
    <w:p w:rsidR="0000252C" w:rsidRPr="0000252C" w:rsidRDefault="0000252C" w:rsidP="0000252C">
      <w:pPr>
        <w:pStyle w:val="NoSpacing"/>
        <w:jc w:val="both"/>
        <w:rPr>
          <w:rFonts w:cs="Tahoma"/>
        </w:rPr>
      </w:pPr>
    </w:p>
    <w:p w:rsidR="0000252C" w:rsidRPr="0000252C" w:rsidRDefault="0000252C" w:rsidP="0000252C">
      <w:pPr>
        <w:pStyle w:val="NoSpacing"/>
        <w:jc w:val="both"/>
        <w:rPr>
          <w:rFonts w:cs="Tahoma"/>
          <w:b/>
        </w:rPr>
      </w:pPr>
      <w:r>
        <w:rPr>
          <w:rFonts w:cs="Tahoma"/>
          <w:b/>
        </w:rPr>
        <w:t>C</w:t>
      </w:r>
      <w:r w:rsidRPr="0000252C">
        <w:rPr>
          <w:rFonts w:cs="Tahoma"/>
          <w:b/>
        </w:rPr>
        <w:t>ASE STUDY:</w:t>
      </w:r>
    </w:p>
    <w:p w:rsidR="0000252C" w:rsidRDefault="0000252C" w:rsidP="0000252C">
      <w:pPr>
        <w:pStyle w:val="NoSpacing"/>
        <w:jc w:val="both"/>
        <w:rPr>
          <w:rFonts w:asciiTheme="majorHAnsi" w:hAnsiTheme="majorHAnsi" w:cs="Tahoma"/>
        </w:rPr>
      </w:pPr>
    </w:p>
    <w:p w:rsidR="0000252C" w:rsidRPr="00D17D9E" w:rsidRDefault="0000252C" w:rsidP="0000252C">
      <w:pPr>
        <w:spacing w:after="0"/>
        <w:jc w:val="both"/>
        <w:rPr>
          <w:b/>
          <w:sz w:val="20"/>
          <w:szCs w:val="20"/>
        </w:rPr>
      </w:pPr>
      <w:r w:rsidRPr="00D17D9E">
        <w:rPr>
          <w:b/>
          <w:sz w:val="20"/>
          <w:szCs w:val="20"/>
        </w:rPr>
        <w:t xml:space="preserve">The local government units of Sibuyan and Tablas Islands </w:t>
      </w:r>
      <w:r>
        <w:rPr>
          <w:b/>
          <w:sz w:val="20"/>
          <w:szCs w:val="20"/>
        </w:rPr>
        <w:t xml:space="preserve">have </w:t>
      </w:r>
      <w:r w:rsidRPr="00D17D9E">
        <w:rPr>
          <w:b/>
          <w:sz w:val="20"/>
          <w:szCs w:val="20"/>
        </w:rPr>
        <w:t xml:space="preserve">received financial assistance from the World Bank to improve the </w:t>
      </w:r>
      <w:r>
        <w:rPr>
          <w:b/>
          <w:sz w:val="20"/>
          <w:szCs w:val="20"/>
        </w:rPr>
        <w:t xml:space="preserve">waste </w:t>
      </w:r>
      <w:r w:rsidRPr="00D17D9E">
        <w:rPr>
          <w:b/>
          <w:sz w:val="20"/>
          <w:szCs w:val="20"/>
        </w:rPr>
        <w:t>collection and disposal system</w:t>
      </w:r>
      <w:r>
        <w:rPr>
          <w:b/>
          <w:sz w:val="20"/>
          <w:szCs w:val="20"/>
        </w:rPr>
        <w:t xml:space="preserve"> of </w:t>
      </w:r>
      <w:r w:rsidRPr="00D17D9E">
        <w:rPr>
          <w:b/>
          <w:sz w:val="20"/>
          <w:szCs w:val="20"/>
        </w:rPr>
        <w:t>these two islands in Romblon. It was proposed to purchase new units of dump trucks to meet the current demand of the islands. However, the purchase or acquisition of the new trucks will be done per island. Due to accessibility and road network problem, the truck can only collect the solid waste from the 40% of the population. Determine or compute the following:</w:t>
      </w:r>
    </w:p>
    <w:p w:rsidR="0000252C" w:rsidRPr="00E139B8" w:rsidRDefault="0000252C" w:rsidP="0000252C">
      <w:pPr>
        <w:spacing w:after="0"/>
        <w:ind w:firstLine="720"/>
        <w:jc w:val="both"/>
        <w:rPr>
          <w:sz w:val="20"/>
          <w:szCs w:val="20"/>
        </w:rPr>
      </w:pPr>
      <w:r>
        <w:rPr>
          <w:sz w:val="20"/>
          <w:szCs w:val="20"/>
        </w:rPr>
        <w:t>1. Total solid waste generation per municipality (kg</w:t>
      </w:r>
      <w:r w:rsidRPr="00E139B8">
        <w:rPr>
          <w:sz w:val="20"/>
          <w:szCs w:val="20"/>
        </w:rPr>
        <w:t xml:space="preserve"> per day)</w:t>
      </w:r>
    </w:p>
    <w:p w:rsidR="0000252C" w:rsidRPr="00E139B8" w:rsidRDefault="0000252C" w:rsidP="0000252C">
      <w:pPr>
        <w:spacing w:after="0"/>
        <w:ind w:firstLine="720"/>
        <w:jc w:val="both"/>
        <w:rPr>
          <w:sz w:val="20"/>
          <w:szCs w:val="20"/>
        </w:rPr>
      </w:pPr>
      <w:r>
        <w:rPr>
          <w:sz w:val="20"/>
          <w:szCs w:val="20"/>
        </w:rPr>
        <w:t>2. N</w:t>
      </w:r>
      <w:r w:rsidRPr="00E139B8">
        <w:rPr>
          <w:sz w:val="20"/>
          <w:szCs w:val="20"/>
        </w:rPr>
        <w:t xml:space="preserve">umber of trucks </w:t>
      </w:r>
      <w:r>
        <w:rPr>
          <w:sz w:val="20"/>
          <w:szCs w:val="20"/>
        </w:rPr>
        <w:t>(25</w:t>
      </w:r>
      <w:r w:rsidRPr="00E139B8">
        <w:rPr>
          <w:sz w:val="20"/>
          <w:szCs w:val="20"/>
        </w:rPr>
        <w:t xml:space="preserve"> cubic meters capacity </w:t>
      </w:r>
      <w:r>
        <w:rPr>
          <w:sz w:val="20"/>
          <w:szCs w:val="20"/>
        </w:rPr>
        <w:t>per truck) needed per island</w:t>
      </w:r>
      <w:r w:rsidRPr="00E139B8">
        <w:rPr>
          <w:sz w:val="20"/>
          <w:szCs w:val="20"/>
        </w:rPr>
        <w:t>.</w:t>
      </w:r>
    </w:p>
    <w:tbl>
      <w:tblPr>
        <w:tblStyle w:val="TableGrid"/>
        <w:tblW w:w="0" w:type="auto"/>
        <w:jc w:val="center"/>
        <w:tblInd w:w="2268" w:type="dxa"/>
        <w:tblLook w:val="04A0"/>
      </w:tblPr>
      <w:tblGrid>
        <w:gridCol w:w="2881"/>
        <w:gridCol w:w="2303"/>
        <w:gridCol w:w="3564"/>
      </w:tblGrid>
      <w:tr w:rsidR="0000252C" w:rsidRPr="00D17D9E" w:rsidTr="00E139B8">
        <w:trPr>
          <w:jc w:val="center"/>
        </w:trPr>
        <w:tc>
          <w:tcPr>
            <w:tcW w:w="2881" w:type="dxa"/>
            <w:shd w:val="clear" w:color="auto" w:fill="D9D9D9" w:themeFill="background1" w:themeFillShade="D9"/>
          </w:tcPr>
          <w:p w:rsidR="0000252C" w:rsidRPr="00D17D9E" w:rsidRDefault="0000252C" w:rsidP="00E139B8">
            <w:pPr>
              <w:pStyle w:val="ListParagraph"/>
              <w:ind w:left="0"/>
              <w:jc w:val="center"/>
              <w:rPr>
                <w:b/>
                <w:sz w:val="20"/>
                <w:szCs w:val="20"/>
              </w:rPr>
            </w:pPr>
            <w:r w:rsidRPr="00D17D9E">
              <w:rPr>
                <w:b/>
                <w:sz w:val="20"/>
                <w:szCs w:val="20"/>
              </w:rPr>
              <w:t>Municipality</w:t>
            </w:r>
          </w:p>
        </w:tc>
        <w:tc>
          <w:tcPr>
            <w:tcW w:w="2303" w:type="dxa"/>
            <w:shd w:val="clear" w:color="auto" w:fill="D9D9D9" w:themeFill="background1" w:themeFillShade="D9"/>
          </w:tcPr>
          <w:p w:rsidR="0000252C" w:rsidRPr="00D17D9E" w:rsidRDefault="0000252C" w:rsidP="00E139B8">
            <w:pPr>
              <w:pStyle w:val="ListParagraph"/>
              <w:ind w:left="0"/>
              <w:jc w:val="center"/>
              <w:rPr>
                <w:b/>
                <w:sz w:val="20"/>
                <w:szCs w:val="20"/>
              </w:rPr>
            </w:pPr>
            <w:r w:rsidRPr="00D17D9E">
              <w:rPr>
                <w:b/>
                <w:sz w:val="20"/>
                <w:szCs w:val="20"/>
              </w:rPr>
              <w:t>Population (201</w:t>
            </w:r>
            <w:r>
              <w:rPr>
                <w:b/>
                <w:sz w:val="20"/>
                <w:szCs w:val="20"/>
              </w:rPr>
              <w:t>6</w:t>
            </w:r>
            <w:r w:rsidRPr="00D17D9E">
              <w:rPr>
                <w:b/>
                <w:sz w:val="20"/>
                <w:szCs w:val="20"/>
              </w:rPr>
              <w:t>)</w:t>
            </w:r>
          </w:p>
        </w:tc>
        <w:tc>
          <w:tcPr>
            <w:tcW w:w="3564" w:type="dxa"/>
            <w:shd w:val="clear" w:color="auto" w:fill="D9D9D9" w:themeFill="background1" w:themeFillShade="D9"/>
          </w:tcPr>
          <w:p w:rsidR="0000252C" w:rsidRPr="00D17D9E" w:rsidRDefault="0000252C" w:rsidP="00E139B8">
            <w:pPr>
              <w:pStyle w:val="ListParagraph"/>
              <w:ind w:left="0"/>
              <w:jc w:val="center"/>
              <w:rPr>
                <w:b/>
                <w:sz w:val="20"/>
                <w:szCs w:val="20"/>
              </w:rPr>
            </w:pPr>
            <w:r w:rsidRPr="00D17D9E">
              <w:rPr>
                <w:b/>
                <w:sz w:val="20"/>
                <w:szCs w:val="20"/>
              </w:rPr>
              <w:t>Assumption</w:t>
            </w:r>
          </w:p>
        </w:tc>
      </w:tr>
      <w:tr w:rsidR="0000252C" w:rsidRPr="00D17D9E" w:rsidTr="00E139B8">
        <w:trPr>
          <w:jc w:val="center"/>
        </w:trPr>
        <w:tc>
          <w:tcPr>
            <w:tcW w:w="2881" w:type="dxa"/>
          </w:tcPr>
          <w:p w:rsidR="0000252C" w:rsidRPr="00D17D9E" w:rsidRDefault="0000252C" w:rsidP="00E139B8">
            <w:pPr>
              <w:pStyle w:val="ListParagraph"/>
              <w:ind w:left="0"/>
              <w:rPr>
                <w:sz w:val="20"/>
                <w:szCs w:val="20"/>
              </w:rPr>
            </w:pPr>
            <w:r w:rsidRPr="00D17D9E">
              <w:rPr>
                <w:sz w:val="20"/>
                <w:szCs w:val="20"/>
              </w:rPr>
              <w:t>Sibuyan Island</w:t>
            </w:r>
          </w:p>
        </w:tc>
        <w:tc>
          <w:tcPr>
            <w:tcW w:w="2303" w:type="dxa"/>
          </w:tcPr>
          <w:p w:rsidR="0000252C" w:rsidRPr="00D17D9E" w:rsidRDefault="0000252C" w:rsidP="00E139B8">
            <w:pPr>
              <w:pStyle w:val="ListParagraph"/>
              <w:ind w:left="0"/>
              <w:jc w:val="center"/>
              <w:rPr>
                <w:sz w:val="20"/>
                <w:szCs w:val="20"/>
              </w:rPr>
            </w:pPr>
          </w:p>
        </w:tc>
        <w:tc>
          <w:tcPr>
            <w:tcW w:w="3564" w:type="dxa"/>
            <w:vMerge w:val="restart"/>
          </w:tcPr>
          <w:p w:rsidR="0000252C" w:rsidRDefault="0000252C" w:rsidP="0000252C">
            <w:pPr>
              <w:pStyle w:val="ListParagraph"/>
              <w:numPr>
                <w:ilvl w:val="0"/>
                <w:numId w:val="30"/>
              </w:numPr>
              <w:ind w:left="360"/>
              <w:rPr>
                <w:sz w:val="20"/>
                <w:szCs w:val="20"/>
              </w:rPr>
            </w:pPr>
            <w:r w:rsidRPr="00FF7843">
              <w:rPr>
                <w:sz w:val="20"/>
                <w:szCs w:val="20"/>
              </w:rPr>
              <w:t xml:space="preserve"> Solid waste generation rate of 1.5kg/capita/day.</w:t>
            </w:r>
          </w:p>
          <w:p w:rsidR="0000252C" w:rsidRDefault="0000252C" w:rsidP="0000252C">
            <w:pPr>
              <w:pStyle w:val="ListParagraph"/>
              <w:numPr>
                <w:ilvl w:val="0"/>
                <w:numId w:val="30"/>
              </w:numPr>
              <w:ind w:left="360"/>
              <w:rPr>
                <w:sz w:val="20"/>
                <w:szCs w:val="20"/>
              </w:rPr>
            </w:pPr>
            <w:r w:rsidRPr="00FF7843">
              <w:rPr>
                <w:sz w:val="20"/>
                <w:szCs w:val="20"/>
              </w:rPr>
              <w:t xml:space="preserve">Refuse compaction rate of the dump truck is 400 kg/cubic meters </w:t>
            </w:r>
          </w:p>
          <w:p w:rsidR="0000252C" w:rsidRPr="0000252C" w:rsidRDefault="0000252C" w:rsidP="0000252C">
            <w:pPr>
              <w:pStyle w:val="ListParagraph"/>
              <w:numPr>
                <w:ilvl w:val="0"/>
                <w:numId w:val="30"/>
              </w:numPr>
              <w:ind w:left="360"/>
              <w:rPr>
                <w:sz w:val="20"/>
                <w:szCs w:val="20"/>
              </w:rPr>
            </w:pPr>
            <w:r w:rsidRPr="00FF7843">
              <w:rPr>
                <w:sz w:val="20"/>
                <w:szCs w:val="20"/>
              </w:rPr>
              <w:t xml:space="preserve">One dump truck 25 cubic meters capacity. Can collect twice a day. </w:t>
            </w:r>
          </w:p>
        </w:tc>
      </w:tr>
      <w:tr w:rsidR="0000252C" w:rsidRPr="00D17D9E" w:rsidTr="00E139B8">
        <w:trPr>
          <w:jc w:val="center"/>
        </w:trPr>
        <w:tc>
          <w:tcPr>
            <w:tcW w:w="2881" w:type="dxa"/>
          </w:tcPr>
          <w:p w:rsidR="0000252C" w:rsidRPr="00D17D9E" w:rsidRDefault="0000252C" w:rsidP="00E139B8">
            <w:pPr>
              <w:pStyle w:val="ListParagraph"/>
              <w:ind w:left="0"/>
              <w:jc w:val="right"/>
              <w:rPr>
                <w:sz w:val="20"/>
                <w:szCs w:val="20"/>
              </w:rPr>
            </w:pPr>
            <w:r w:rsidRPr="00D17D9E">
              <w:rPr>
                <w:sz w:val="20"/>
                <w:szCs w:val="20"/>
              </w:rPr>
              <w:t>San Fernando</w:t>
            </w:r>
          </w:p>
        </w:tc>
        <w:tc>
          <w:tcPr>
            <w:tcW w:w="2303" w:type="dxa"/>
          </w:tcPr>
          <w:p w:rsidR="0000252C" w:rsidRPr="00D17D9E" w:rsidRDefault="0000252C" w:rsidP="00E139B8">
            <w:pPr>
              <w:pStyle w:val="ListParagraph"/>
              <w:ind w:left="0"/>
              <w:jc w:val="center"/>
              <w:rPr>
                <w:sz w:val="20"/>
                <w:szCs w:val="20"/>
              </w:rPr>
            </w:pPr>
            <w:r w:rsidRPr="00D17D9E">
              <w:rPr>
                <w:sz w:val="20"/>
                <w:szCs w:val="20"/>
              </w:rPr>
              <w:t>23,271</w:t>
            </w:r>
          </w:p>
        </w:tc>
        <w:tc>
          <w:tcPr>
            <w:tcW w:w="3564" w:type="dxa"/>
            <w:vMerge/>
          </w:tcPr>
          <w:p w:rsidR="0000252C" w:rsidRPr="00D17D9E" w:rsidRDefault="0000252C" w:rsidP="00E139B8">
            <w:pPr>
              <w:pStyle w:val="ListParagraph"/>
              <w:ind w:left="0"/>
              <w:jc w:val="center"/>
              <w:rPr>
                <w:sz w:val="20"/>
                <w:szCs w:val="20"/>
              </w:rPr>
            </w:pPr>
          </w:p>
        </w:tc>
      </w:tr>
      <w:tr w:rsidR="0000252C" w:rsidRPr="00D17D9E" w:rsidTr="00E139B8">
        <w:trPr>
          <w:jc w:val="center"/>
        </w:trPr>
        <w:tc>
          <w:tcPr>
            <w:tcW w:w="2881" w:type="dxa"/>
          </w:tcPr>
          <w:p w:rsidR="0000252C" w:rsidRPr="00D17D9E" w:rsidRDefault="0000252C" w:rsidP="00E139B8">
            <w:pPr>
              <w:pStyle w:val="ListParagraph"/>
              <w:ind w:left="0"/>
              <w:jc w:val="right"/>
              <w:rPr>
                <w:sz w:val="20"/>
                <w:szCs w:val="20"/>
              </w:rPr>
            </w:pPr>
            <w:r w:rsidRPr="00D17D9E">
              <w:rPr>
                <w:sz w:val="20"/>
                <w:szCs w:val="20"/>
              </w:rPr>
              <w:t>Cajidiocan</w:t>
            </w:r>
          </w:p>
        </w:tc>
        <w:tc>
          <w:tcPr>
            <w:tcW w:w="2303" w:type="dxa"/>
          </w:tcPr>
          <w:p w:rsidR="0000252C" w:rsidRPr="00D17D9E" w:rsidRDefault="0000252C" w:rsidP="00E139B8">
            <w:pPr>
              <w:pStyle w:val="ListParagraph"/>
              <w:ind w:left="0"/>
              <w:jc w:val="center"/>
              <w:rPr>
                <w:sz w:val="20"/>
                <w:szCs w:val="20"/>
              </w:rPr>
            </w:pPr>
            <w:r w:rsidRPr="00D17D9E">
              <w:rPr>
                <w:sz w:val="20"/>
                <w:szCs w:val="20"/>
              </w:rPr>
              <w:t>21,861</w:t>
            </w:r>
          </w:p>
        </w:tc>
        <w:tc>
          <w:tcPr>
            <w:tcW w:w="3564" w:type="dxa"/>
            <w:vMerge/>
          </w:tcPr>
          <w:p w:rsidR="0000252C" w:rsidRPr="00D17D9E" w:rsidRDefault="0000252C" w:rsidP="00E139B8">
            <w:pPr>
              <w:pStyle w:val="ListParagraph"/>
              <w:ind w:left="0"/>
              <w:jc w:val="center"/>
              <w:rPr>
                <w:sz w:val="20"/>
                <w:szCs w:val="20"/>
              </w:rPr>
            </w:pPr>
          </w:p>
        </w:tc>
      </w:tr>
      <w:tr w:rsidR="0000252C" w:rsidRPr="00D17D9E" w:rsidTr="00E139B8">
        <w:trPr>
          <w:jc w:val="center"/>
        </w:trPr>
        <w:tc>
          <w:tcPr>
            <w:tcW w:w="2881" w:type="dxa"/>
          </w:tcPr>
          <w:p w:rsidR="0000252C" w:rsidRPr="00D17D9E" w:rsidRDefault="0000252C" w:rsidP="00E139B8">
            <w:pPr>
              <w:pStyle w:val="ListParagraph"/>
              <w:ind w:left="0"/>
              <w:jc w:val="right"/>
              <w:rPr>
                <w:sz w:val="20"/>
                <w:szCs w:val="20"/>
              </w:rPr>
            </w:pPr>
            <w:r w:rsidRPr="00D17D9E">
              <w:rPr>
                <w:sz w:val="20"/>
                <w:szCs w:val="20"/>
              </w:rPr>
              <w:t>Magdiwang</w:t>
            </w:r>
          </w:p>
        </w:tc>
        <w:tc>
          <w:tcPr>
            <w:tcW w:w="2303" w:type="dxa"/>
          </w:tcPr>
          <w:p w:rsidR="0000252C" w:rsidRPr="00D17D9E" w:rsidRDefault="0000252C" w:rsidP="00E139B8">
            <w:pPr>
              <w:pStyle w:val="ListParagraph"/>
              <w:ind w:left="0"/>
              <w:jc w:val="center"/>
              <w:rPr>
                <w:sz w:val="20"/>
                <w:szCs w:val="20"/>
              </w:rPr>
            </w:pPr>
            <w:r w:rsidRPr="00D17D9E">
              <w:rPr>
                <w:sz w:val="20"/>
                <w:szCs w:val="20"/>
              </w:rPr>
              <w:t>14,142</w:t>
            </w:r>
          </w:p>
        </w:tc>
        <w:tc>
          <w:tcPr>
            <w:tcW w:w="3564" w:type="dxa"/>
            <w:vMerge/>
          </w:tcPr>
          <w:p w:rsidR="0000252C" w:rsidRPr="00D17D9E" w:rsidRDefault="0000252C" w:rsidP="00E139B8">
            <w:pPr>
              <w:pStyle w:val="ListParagraph"/>
              <w:ind w:left="0"/>
              <w:jc w:val="center"/>
              <w:rPr>
                <w:sz w:val="20"/>
                <w:szCs w:val="20"/>
              </w:rPr>
            </w:pPr>
          </w:p>
        </w:tc>
      </w:tr>
      <w:tr w:rsidR="0000252C" w:rsidRPr="00D17D9E" w:rsidTr="00E139B8">
        <w:trPr>
          <w:jc w:val="center"/>
        </w:trPr>
        <w:tc>
          <w:tcPr>
            <w:tcW w:w="2881" w:type="dxa"/>
          </w:tcPr>
          <w:p w:rsidR="0000252C" w:rsidRPr="00D17D9E" w:rsidRDefault="0000252C" w:rsidP="00E139B8">
            <w:pPr>
              <w:pStyle w:val="ListParagraph"/>
              <w:ind w:left="0"/>
              <w:rPr>
                <w:sz w:val="20"/>
                <w:szCs w:val="20"/>
              </w:rPr>
            </w:pPr>
            <w:r w:rsidRPr="00D17D9E">
              <w:rPr>
                <w:sz w:val="20"/>
                <w:szCs w:val="20"/>
              </w:rPr>
              <w:t>Tablas Island</w:t>
            </w:r>
          </w:p>
        </w:tc>
        <w:tc>
          <w:tcPr>
            <w:tcW w:w="2303" w:type="dxa"/>
          </w:tcPr>
          <w:p w:rsidR="0000252C" w:rsidRPr="00D17D9E" w:rsidRDefault="0000252C" w:rsidP="00E139B8">
            <w:pPr>
              <w:pStyle w:val="ListParagraph"/>
              <w:ind w:left="0"/>
              <w:jc w:val="center"/>
              <w:rPr>
                <w:sz w:val="20"/>
                <w:szCs w:val="20"/>
              </w:rPr>
            </w:pPr>
          </w:p>
        </w:tc>
        <w:tc>
          <w:tcPr>
            <w:tcW w:w="3564" w:type="dxa"/>
            <w:vMerge/>
          </w:tcPr>
          <w:p w:rsidR="0000252C" w:rsidRPr="00D17D9E" w:rsidRDefault="0000252C" w:rsidP="00E139B8">
            <w:pPr>
              <w:pStyle w:val="ListParagraph"/>
              <w:ind w:left="0"/>
              <w:jc w:val="center"/>
              <w:rPr>
                <w:sz w:val="20"/>
                <w:szCs w:val="20"/>
              </w:rPr>
            </w:pPr>
          </w:p>
        </w:tc>
      </w:tr>
      <w:tr w:rsidR="0000252C" w:rsidRPr="00D17D9E" w:rsidTr="00E139B8">
        <w:trPr>
          <w:jc w:val="center"/>
        </w:trPr>
        <w:tc>
          <w:tcPr>
            <w:tcW w:w="2881" w:type="dxa"/>
          </w:tcPr>
          <w:p w:rsidR="0000252C" w:rsidRPr="00D17D9E" w:rsidRDefault="0000252C" w:rsidP="00E139B8">
            <w:pPr>
              <w:pStyle w:val="ListParagraph"/>
              <w:ind w:left="0"/>
              <w:jc w:val="right"/>
              <w:rPr>
                <w:sz w:val="20"/>
                <w:szCs w:val="20"/>
              </w:rPr>
            </w:pPr>
            <w:r w:rsidRPr="00D17D9E">
              <w:rPr>
                <w:sz w:val="20"/>
                <w:szCs w:val="20"/>
              </w:rPr>
              <w:t>San Andres</w:t>
            </w:r>
          </w:p>
        </w:tc>
        <w:tc>
          <w:tcPr>
            <w:tcW w:w="2303" w:type="dxa"/>
          </w:tcPr>
          <w:p w:rsidR="0000252C" w:rsidRPr="00D17D9E" w:rsidRDefault="0000252C" w:rsidP="00E139B8">
            <w:pPr>
              <w:pStyle w:val="ListParagraph"/>
              <w:ind w:left="0"/>
              <w:jc w:val="center"/>
              <w:rPr>
                <w:sz w:val="20"/>
                <w:szCs w:val="20"/>
              </w:rPr>
            </w:pPr>
            <w:r w:rsidRPr="00D17D9E">
              <w:rPr>
                <w:sz w:val="20"/>
                <w:szCs w:val="20"/>
              </w:rPr>
              <w:t>15,589</w:t>
            </w:r>
          </w:p>
        </w:tc>
        <w:tc>
          <w:tcPr>
            <w:tcW w:w="3564" w:type="dxa"/>
            <w:vMerge/>
          </w:tcPr>
          <w:p w:rsidR="0000252C" w:rsidRPr="00D17D9E" w:rsidRDefault="0000252C" w:rsidP="00E139B8">
            <w:pPr>
              <w:pStyle w:val="ListParagraph"/>
              <w:ind w:left="0"/>
              <w:jc w:val="center"/>
              <w:rPr>
                <w:sz w:val="20"/>
                <w:szCs w:val="20"/>
              </w:rPr>
            </w:pPr>
          </w:p>
        </w:tc>
      </w:tr>
      <w:tr w:rsidR="0000252C" w:rsidRPr="00D17D9E" w:rsidTr="00E139B8">
        <w:trPr>
          <w:jc w:val="center"/>
        </w:trPr>
        <w:tc>
          <w:tcPr>
            <w:tcW w:w="2881" w:type="dxa"/>
          </w:tcPr>
          <w:p w:rsidR="0000252C" w:rsidRPr="00D17D9E" w:rsidRDefault="0000252C" w:rsidP="00E139B8">
            <w:pPr>
              <w:pStyle w:val="ListParagraph"/>
              <w:ind w:left="0"/>
              <w:jc w:val="right"/>
              <w:rPr>
                <w:sz w:val="20"/>
                <w:szCs w:val="20"/>
              </w:rPr>
            </w:pPr>
            <w:r w:rsidRPr="00D17D9E">
              <w:rPr>
                <w:sz w:val="20"/>
                <w:szCs w:val="20"/>
              </w:rPr>
              <w:t>Odiongan</w:t>
            </w:r>
          </w:p>
        </w:tc>
        <w:tc>
          <w:tcPr>
            <w:tcW w:w="2303" w:type="dxa"/>
          </w:tcPr>
          <w:p w:rsidR="0000252C" w:rsidRPr="00D17D9E" w:rsidRDefault="0000252C" w:rsidP="00E139B8">
            <w:pPr>
              <w:pStyle w:val="ListParagraph"/>
              <w:ind w:left="0"/>
              <w:jc w:val="center"/>
              <w:rPr>
                <w:sz w:val="20"/>
                <w:szCs w:val="20"/>
              </w:rPr>
            </w:pPr>
            <w:r w:rsidRPr="00D17D9E">
              <w:rPr>
                <w:sz w:val="20"/>
                <w:szCs w:val="20"/>
              </w:rPr>
              <w:t>45,367</w:t>
            </w:r>
          </w:p>
        </w:tc>
        <w:tc>
          <w:tcPr>
            <w:tcW w:w="3564" w:type="dxa"/>
            <w:vMerge/>
          </w:tcPr>
          <w:p w:rsidR="0000252C" w:rsidRPr="00D17D9E" w:rsidRDefault="0000252C" w:rsidP="00E139B8">
            <w:pPr>
              <w:pStyle w:val="ListParagraph"/>
              <w:ind w:left="0"/>
              <w:jc w:val="center"/>
              <w:rPr>
                <w:sz w:val="20"/>
                <w:szCs w:val="20"/>
              </w:rPr>
            </w:pPr>
          </w:p>
        </w:tc>
      </w:tr>
      <w:tr w:rsidR="0000252C" w:rsidRPr="00D17D9E" w:rsidTr="00E139B8">
        <w:trPr>
          <w:jc w:val="center"/>
        </w:trPr>
        <w:tc>
          <w:tcPr>
            <w:tcW w:w="2881" w:type="dxa"/>
          </w:tcPr>
          <w:p w:rsidR="0000252C" w:rsidRPr="00D17D9E" w:rsidRDefault="0000252C" w:rsidP="00E139B8">
            <w:pPr>
              <w:pStyle w:val="ListParagraph"/>
              <w:ind w:left="0"/>
              <w:jc w:val="right"/>
              <w:rPr>
                <w:sz w:val="20"/>
                <w:szCs w:val="20"/>
              </w:rPr>
            </w:pPr>
            <w:r w:rsidRPr="00D17D9E">
              <w:rPr>
                <w:sz w:val="20"/>
                <w:szCs w:val="20"/>
              </w:rPr>
              <w:t>Ferrol</w:t>
            </w:r>
          </w:p>
        </w:tc>
        <w:tc>
          <w:tcPr>
            <w:tcW w:w="2303" w:type="dxa"/>
          </w:tcPr>
          <w:p w:rsidR="0000252C" w:rsidRPr="00D17D9E" w:rsidRDefault="0000252C" w:rsidP="00E139B8">
            <w:pPr>
              <w:pStyle w:val="ListParagraph"/>
              <w:ind w:left="0"/>
              <w:jc w:val="center"/>
              <w:rPr>
                <w:sz w:val="20"/>
                <w:szCs w:val="20"/>
              </w:rPr>
            </w:pPr>
            <w:r w:rsidRPr="00D17D9E">
              <w:rPr>
                <w:sz w:val="20"/>
                <w:szCs w:val="20"/>
              </w:rPr>
              <w:t>6,964</w:t>
            </w:r>
          </w:p>
        </w:tc>
        <w:tc>
          <w:tcPr>
            <w:tcW w:w="3564" w:type="dxa"/>
            <w:vMerge/>
          </w:tcPr>
          <w:p w:rsidR="0000252C" w:rsidRPr="00D17D9E" w:rsidRDefault="0000252C" w:rsidP="00E139B8">
            <w:pPr>
              <w:pStyle w:val="ListParagraph"/>
              <w:ind w:left="0"/>
              <w:jc w:val="center"/>
              <w:rPr>
                <w:sz w:val="20"/>
                <w:szCs w:val="20"/>
              </w:rPr>
            </w:pPr>
          </w:p>
        </w:tc>
      </w:tr>
    </w:tbl>
    <w:p w:rsidR="0000252C" w:rsidRDefault="0000252C" w:rsidP="0000252C">
      <w:pPr>
        <w:spacing w:after="0"/>
        <w:rPr>
          <w:b/>
          <w:sz w:val="20"/>
          <w:szCs w:val="20"/>
        </w:rPr>
      </w:pPr>
    </w:p>
    <w:p w:rsidR="0000252C" w:rsidRDefault="0000252C" w:rsidP="0000252C">
      <w:pPr>
        <w:pStyle w:val="NoSpacing"/>
        <w:jc w:val="both"/>
        <w:rPr>
          <w:rFonts w:asciiTheme="majorHAnsi" w:hAnsiTheme="majorHAnsi" w:cs="Tahoma"/>
        </w:rPr>
      </w:pPr>
    </w:p>
    <w:p w:rsidR="008555DC" w:rsidRDefault="008555DC" w:rsidP="0000252C">
      <w:pPr>
        <w:pStyle w:val="NoSpacing"/>
        <w:jc w:val="both"/>
        <w:rPr>
          <w:rFonts w:cs="Tahoma"/>
          <w:b/>
          <w:sz w:val="20"/>
          <w:szCs w:val="20"/>
        </w:rPr>
      </w:pPr>
      <w:r w:rsidRPr="008555DC">
        <w:rPr>
          <w:rFonts w:cs="Tahoma"/>
          <w:b/>
          <w:sz w:val="20"/>
          <w:szCs w:val="20"/>
        </w:rPr>
        <w:t>Reference:</w:t>
      </w:r>
    </w:p>
    <w:p w:rsidR="008555DC" w:rsidRDefault="008555DC" w:rsidP="0000252C">
      <w:pPr>
        <w:pStyle w:val="NoSpacing"/>
        <w:jc w:val="both"/>
        <w:rPr>
          <w:rFonts w:cs="Tahoma"/>
          <w:b/>
          <w:sz w:val="20"/>
          <w:szCs w:val="20"/>
        </w:rPr>
      </w:pPr>
    </w:p>
    <w:p w:rsidR="008555DC" w:rsidRDefault="008555DC" w:rsidP="008555DC">
      <w:r w:rsidRPr="00AB6ADD">
        <w:t>Vesilind P.A, Morgan, S.M., and Heine, L.G. (2013</w:t>
      </w:r>
      <w:r w:rsidRPr="008555DC">
        <w:rPr>
          <w:i/>
        </w:rPr>
        <w:t>). Introduction to Environmental Engineering</w:t>
      </w:r>
      <w:r w:rsidRPr="00AB6ADD">
        <w:t>, 1</w:t>
      </w:r>
      <w:r w:rsidRPr="008555DC">
        <w:rPr>
          <w:vertAlign w:val="superscript"/>
        </w:rPr>
        <w:t>st</w:t>
      </w:r>
      <w:r w:rsidRPr="00AB6ADD">
        <w:t xml:space="preserve"> Philippine reprint, </w:t>
      </w:r>
      <w:r>
        <w:t xml:space="preserve">Singapore: </w:t>
      </w:r>
      <w:r w:rsidRPr="00AB6ADD">
        <w:t>Ceng</w:t>
      </w:r>
      <w:r>
        <w:t>age Learning Asia Pte Ltd.</w:t>
      </w:r>
    </w:p>
    <w:p w:rsidR="008555DC" w:rsidRPr="00AB6ADD" w:rsidRDefault="008555DC" w:rsidP="008555DC">
      <w:pPr>
        <w:pStyle w:val="ListParagraph"/>
      </w:pPr>
    </w:p>
    <w:p w:rsidR="008555DC" w:rsidRPr="008555DC" w:rsidRDefault="008555DC" w:rsidP="0000252C">
      <w:pPr>
        <w:pStyle w:val="NoSpacing"/>
        <w:jc w:val="both"/>
        <w:rPr>
          <w:rFonts w:cs="Tahoma"/>
          <w:b/>
          <w:sz w:val="20"/>
          <w:szCs w:val="20"/>
        </w:rPr>
      </w:pPr>
    </w:p>
    <w:sectPr w:rsidR="008555DC" w:rsidRPr="008555DC" w:rsidSect="000605C1">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6A" w:rsidRDefault="0039376A" w:rsidP="0095354D">
      <w:pPr>
        <w:spacing w:after="0" w:line="240" w:lineRule="auto"/>
      </w:pPr>
      <w:r>
        <w:separator/>
      </w:r>
    </w:p>
  </w:endnote>
  <w:endnote w:type="continuationSeparator" w:id="1">
    <w:p w:rsidR="0039376A" w:rsidRDefault="0039376A"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726AA9" w:rsidRDefault="00726AA9">
        <w:pPr>
          <w:pStyle w:val="Footer"/>
          <w:jc w:val="right"/>
        </w:pPr>
        <w:r>
          <w:t xml:space="preserve">Page | </w:t>
        </w:r>
        <w:fldSimple w:instr=" PAGE   \* MERGEFORMAT ">
          <w:r w:rsidR="008555DC">
            <w:rPr>
              <w:noProof/>
            </w:rPr>
            <w:t>2</w:t>
          </w:r>
        </w:fldSimple>
        <w:r>
          <w:t xml:space="preserve"> </w:t>
        </w:r>
      </w:p>
    </w:sdtContent>
  </w:sdt>
  <w:p w:rsidR="00726AA9" w:rsidRDefault="00726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6A" w:rsidRDefault="0039376A" w:rsidP="0095354D">
      <w:pPr>
        <w:spacing w:after="0" w:line="240" w:lineRule="auto"/>
      </w:pPr>
      <w:r>
        <w:separator/>
      </w:r>
    </w:p>
  </w:footnote>
  <w:footnote w:type="continuationSeparator" w:id="1">
    <w:p w:rsidR="0039376A" w:rsidRDefault="0039376A"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7338"/>
    <w:multiLevelType w:val="hybridMultilevel"/>
    <w:tmpl w:val="879606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16C369ED"/>
    <w:multiLevelType w:val="hybridMultilevel"/>
    <w:tmpl w:val="3AC898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8">
    <w:nsid w:val="2D39219C"/>
    <w:multiLevelType w:val="hybridMultilevel"/>
    <w:tmpl w:val="D464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3C501194"/>
    <w:multiLevelType w:val="hybridMultilevel"/>
    <w:tmpl w:val="83F820A0"/>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04C5211"/>
    <w:multiLevelType w:val="hybridMultilevel"/>
    <w:tmpl w:val="E3F00C4C"/>
    <w:lvl w:ilvl="0" w:tplc="D6D40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FB54B8"/>
    <w:multiLevelType w:val="hybridMultilevel"/>
    <w:tmpl w:val="831E904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4F1A4DCC"/>
    <w:multiLevelType w:val="hybridMultilevel"/>
    <w:tmpl w:val="4C6405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nsid w:val="57DE27FB"/>
    <w:multiLevelType w:val="hybridMultilevel"/>
    <w:tmpl w:val="7B84F146"/>
    <w:lvl w:ilvl="0" w:tplc="F626A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EBD2797"/>
    <w:multiLevelType w:val="hybridMultilevel"/>
    <w:tmpl w:val="558E9934"/>
    <w:lvl w:ilvl="0" w:tplc="17B6FB6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72852F2E"/>
    <w:multiLevelType w:val="hybridMultilevel"/>
    <w:tmpl w:val="CB527EB2"/>
    <w:lvl w:ilvl="0" w:tplc="34090019">
      <w:start w:val="9"/>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782C76C8"/>
    <w:multiLevelType w:val="hybridMultilevel"/>
    <w:tmpl w:val="5C1C3AF0"/>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F6513DA"/>
    <w:multiLevelType w:val="hybridMultilevel"/>
    <w:tmpl w:val="43DA9656"/>
    <w:lvl w:ilvl="0" w:tplc="6396FDAC">
      <w:start w:val="1"/>
      <w:numFmt w:val="low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7"/>
  </w:num>
  <w:num w:numId="2">
    <w:abstractNumId w:val="14"/>
  </w:num>
  <w:num w:numId="3">
    <w:abstractNumId w:val="21"/>
  </w:num>
  <w:num w:numId="4">
    <w:abstractNumId w:val="29"/>
  </w:num>
  <w:num w:numId="5">
    <w:abstractNumId w:val="25"/>
  </w:num>
  <w:num w:numId="6">
    <w:abstractNumId w:val="20"/>
  </w:num>
  <w:num w:numId="7">
    <w:abstractNumId w:val="3"/>
  </w:num>
  <w:num w:numId="8">
    <w:abstractNumId w:val="16"/>
  </w:num>
  <w:num w:numId="9">
    <w:abstractNumId w:val="22"/>
  </w:num>
  <w:num w:numId="10">
    <w:abstractNumId w:val="28"/>
  </w:num>
  <w:num w:numId="11">
    <w:abstractNumId w:val="2"/>
  </w:num>
  <w:num w:numId="12">
    <w:abstractNumId w:val="6"/>
  </w:num>
  <w:num w:numId="13">
    <w:abstractNumId w:val="9"/>
  </w:num>
  <w:num w:numId="14">
    <w:abstractNumId w:val="1"/>
  </w:num>
  <w:num w:numId="15">
    <w:abstractNumId w:val="4"/>
  </w:num>
  <w:num w:numId="16">
    <w:abstractNumId w:val="7"/>
  </w:num>
  <w:num w:numId="17">
    <w:abstractNumId w:val="11"/>
  </w:num>
  <w:num w:numId="18">
    <w:abstractNumId w:val="19"/>
  </w:num>
  <w:num w:numId="19">
    <w:abstractNumId w:val="17"/>
  </w:num>
  <w:num w:numId="20">
    <w:abstractNumId w:val="8"/>
  </w:num>
  <w:num w:numId="21">
    <w:abstractNumId w:val="18"/>
  </w:num>
  <w:num w:numId="22">
    <w:abstractNumId w:val="12"/>
  </w:num>
  <w:num w:numId="23">
    <w:abstractNumId w:val="26"/>
  </w:num>
  <w:num w:numId="24">
    <w:abstractNumId w:val="30"/>
  </w:num>
  <w:num w:numId="25">
    <w:abstractNumId w:val="24"/>
  </w:num>
  <w:num w:numId="26">
    <w:abstractNumId w:val="5"/>
  </w:num>
  <w:num w:numId="27">
    <w:abstractNumId w:val="0"/>
  </w:num>
  <w:num w:numId="28">
    <w:abstractNumId w:val="10"/>
  </w:num>
  <w:num w:numId="29">
    <w:abstractNumId w:val="15"/>
  </w:num>
  <w:num w:numId="30">
    <w:abstractNumId w:val="23"/>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0252C"/>
    <w:rsid w:val="00040A4D"/>
    <w:rsid w:val="00051FFD"/>
    <w:rsid w:val="000605C1"/>
    <w:rsid w:val="000635D4"/>
    <w:rsid w:val="00084AB2"/>
    <w:rsid w:val="000E2193"/>
    <w:rsid w:val="000F2AC9"/>
    <w:rsid w:val="000F5DA4"/>
    <w:rsid w:val="000F615E"/>
    <w:rsid w:val="00115831"/>
    <w:rsid w:val="00127B2C"/>
    <w:rsid w:val="00156C1D"/>
    <w:rsid w:val="00185E07"/>
    <w:rsid w:val="001B71D8"/>
    <w:rsid w:val="001F5C52"/>
    <w:rsid w:val="00216EFE"/>
    <w:rsid w:val="00221505"/>
    <w:rsid w:val="002242EE"/>
    <w:rsid w:val="00251D25"/>
    <w:rsid w:val="00257A60"/>
    <w:rsid w:val="00265971"/>
    <w:rsid w:val="002E7101"/>
    <w:rsid w:val="0030261B"/>
    <w:rsid w:val="0032063A"/>
    <w:rsid w:val="00327DFE"/>
    <w:rsid w:val="0036053F"/>
    <w:rsid w:val="00377373"/>
    <w:rsid w:val="003819CE"/>
    <w:rsid w:val="0039376A"/>
    <w:rsid w:val="0039636D"/>
    <w:rsid w:val="003B2FF2"/>
    <w:rsid w:val="003B68AD"/>
    <w:rsid w:val="003D15D9"/>
    <w:rsid w:val="003E427F"/>
    <w:rsid w:val="00445B45"/>
    <w:rsid w:val="00481900"/>
    <w:rsid w:val="00506766"/>
    <w:rsid w:val="005071FD"/>
    <w:rsid w:val="00576B5B"/>
    <w:rsid w:val="00597BB1"/>
    <w:rsid w:val="005B2934"/>
    <w:rsid w:val="005D5AD7"/>
    <w:rsid w:val="005F1029"/>
    <w:rsid w:val="005F10AD"/>
    <w:rsid w:val="00603C44"/>
    <w:rsid w:val="006278DB"/>
    <w:rsid w:val="00635F25"/>
    <w:rsid w:val="00650731"/>
    <w:rsid w:val="006D2B0F"/>
    <w:rsid w:val="006F23A9"/>
    <w:rsid w:val="007016CB"/>
    <w:rsid w:val="00715BB3"/>
    <w:rsid w:val="00726AA9"/>
    <w:rsid w:val="007441B9"/>
    <w:rsid w:val="007566C5"/>
    <w:rsid w:val="00767777"/>
    <w:rsid w:val="00776B67"/>
    <w:rsid w:val="007C37D1"/>
    <w:rsid w:val="007C4687"/>
    <w:rsid w:val="007E1E5D"/>
    <w:rsid w:val="00806920"/>
    <w:rsid w:val="00810FE5"/>
    <w:rsid w:val="008309B8"/>
    <w:rsid w:val="00851D6B"/>
    <w:rsid w:val="008555DC"/>
    <w:rsid w:val="008603E1"/>
    <w:rsid w:val="00874707"/>
    <w:rsid w:val="008871E2"/>
    <w:rsid w:val="00893816"/>
    <w:rsid w:val="008D6523"/>
    <w:rsid w:val="008E6FFE"/>
    <w:rsid w:val="008F4AE3"/>
    <w:rsid w:val="00931C3B"/>
    <w:rsid w:val="00947B28"/>
    <w:rsid w:val="0095354D"/>
    <w:rsid w:val="00961282"/>
    <w:rsid w:val="00963AA3"/>
    <w:rsid w:val="00967368"/>
    <w:rsid w:val="009954F1"/>
    <w:rsid w:val="009C2B83"/>
    <w:rsid w:val="00A16F51"/>
    <w:rsid w:val="00A2069E"/>
    <w:rsid w:val="00A210C1"/>
    <w:rsid w:val="00A53B40"/>
    <w:rsid w:val="00A65D07"/>
    <w:rsid w:val="00A8128B"/>
    <w:rsid w:val="00AB6ADD"/>
    <w:rsid w:val="00AC7890"/>
    <w:rsid w:val="00AF063A"/>
    <w:rsid w:val="00B15B5F"/>
    <w:rsid w:val="00B73FC5"/>
    <w:rsid w:val="00B95242"/>
    <w:rsid w:val="00BA74E7"/>
    <w:rsid w:val="00BA7873"/>
    <w:rsid w:val="00BB275C"/>
    <w:rsid w:val="00BD127D"/>
    <w:rsid w:val="00BE3E2B"/>
    <w:rsid w:val="00BE4F5D"/>
    <w:rsid w:val="00BF3F69"/>
    <w:rsid w:val="00BF70F1"/>
    <w:rsid w:val="00C02740"/>
    <w:rsid w:val="00C63F6E"/>
    <w:rsid w:val="00C77985"/>
    <w:rsid w:val="00CA1969"/>
    <w:rsid w:val="00CB4F51"/>
    <w:rsid w:val="00CF02AA"/>
    <w:rsid w:val="00CF418A"/>
    <w:rsid w:val="00D037AE"/>
    <w:rsid w:val="00D71C43"/>
    <w:rsid w:val="00D812C0"/>
    <w:rsid w:val="00D95166"/>
    <w:rsid w:val="00DC405B"/>
    <w:rsid w:val="00E01F2B"/>
    <w:rsid w:val="00E054D3"/>
    <w:rsid w:val="00E134C3"/>
    <w:rsid w:val="00E17317"/>
    <w:rsid w:val="00E55A32"/>
    <w:rsid w:val="00E75CB7"/>
    <w:rsid w:val="00E9592E"/>
    <w:rsid w:val="00EF0CD2"/>
    <w:rsid w:val="00EF64F5"/>
    <w:rsid w:val="00F05D09"/>
    <w:rsid w:val="00F458D4"/>
    <w:rsid w:val="00F63551"/>
    <w:rsid w:val="00F712A9"/>
    <w:rsid w:val="00F9254B"/>
    <w:rsid w:val="00FE6460"/>
    <w:rsid w:val="00FF01ED"/>
    <w:rsid w:val="00FF31CD"/>
    <w:rsid w:val="00FF555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31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1C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31C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1C3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31C3B"/>
  </w:style>
  <w:style w:type="character" w:styleId="Hyperlink">
    <w:name w:val="Hyperlink"/>
    <w:basedOn w:val="DefaultParagraphFont"/>
    <w:uiPriority w:val="99"/>
    <w:unhideWhenUsed/>
    <w:rsid w:val="00931C3B"/>
    <w:rPr>
      <w:color w:val="0000FF"/>
      <w:u w:val="single"/>
    </w:rPr>
  </w:style>
  <w:style w:type="paragraph" w:styleId="NormalWeb">
    <w:name w:val="Normal (Web)"/>
    <w:basedOn w:val="Normal"/>
    <w:uiPriority w:val="99"/>
    <w:semiHidden/>
    <w:unhideWhenUsed/>
    <w:rsid w:val="00931C3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NoSpacing">
    <w:name w:val="No Spacing"/>
    <w:uiPriority w:val="1"/>
    <w:qFormat/>
    <w:rsid w:val="00BA74E7"/>
    <w:pPr>
      <w:spacing w:after="0" w:line="240" w:lineRule="auto"/>
    </w:pPr>
    <w:rPr>
      <w:lang w:val="en-US"/>
    </w:rPr>
  </w:style>
  <w:style w:type="table" w:styleId="TableGrid">
    <w:name w:val="Table Grid"/>
    <w:basedOn w:val="TableNormal"/>
    <w:uiPriority w:val="59"/>
    <w:rsid w:val="00002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8D2C-8450-4E88-B277-0F355CFA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8</cp:revision>
  <cp:lastPrinted>2017-08-02T01:59:00Z</cp:lastPrinted>
  <dcterms:created xsi:type="dcterms:W3CDTF">2017-08-03T01:17:00Z</dcterms:created>
  <dcterms:modified xsi:type="dcterms:W3CDTF">2017-08-12T11:00:00Z</dcterms:modified>
</cp:coreProperties>
</file>